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85"/>
        <w:gridCol w:w="4970"/>
      </w:tblGrid>
      <w:tr w:rsidR="00B03940" w:rsidRPr="00D24892" w:rsidTr="00BB1EAD">
        <w:trPr>
          <w:trHeight w:val="950"/>
        </w:trPr>
        <w:tc>
          <w:tcPr>
            <w:tcW w:w="5194" w:type="dxa"/>
          </w:tcPr>
          <w:p w:rsidR="00B03940" w:rsidRPr="00D24892" w:rsidRDefault="00B03940" w:rsidP="00BB1EAD">
            <w:pPr>
              <w:jc w:val="both"/>
              <w:rPr>
                <w:rFonts w:ascii="Times New Roman" w:hAnsi="Times New Roman"/>
                <w:sz w:val="28"/>
                <w:szCs w:val="28"/>
              </w:rPr>
            </w:pPr>
          </w:p>
        </w:tc>
        <w:tc>
          <w:tcPr>
            <w:tcW w:w="5195" w:type="dxa"/>
          </w:tcPr>
          <w:p w:rsidR="00B03940" w:rsidRPr="00D24892" w:rsidRDefault="00B03940" w:rsidP="00BB1EAD">
            <w:pPr>
              <w:tabs>
                <w:tab w:val="left" w:pos="3682"/>
                <w:tab w:val="right" w:pos="4995"/>
              </w:tabs>
              <w:rPr>
                <w:rFonts w:ascii="Times New Roman" w:hAnsi="Times New Roman"/>
                <w:szCs w:val="24"/>
              </w:rPr>
            </w:pPr>
            <w:r w:rsidRPr="00D24892">
              <w:rPr>
                <w:rFonts w:ascii="Times New Roman" w:hAnsi="Times New Roman"/>
                <w:szCs w:val="24"/>
              </w:rPr>
              <w:t>Додаток 1</w:t>
            </w:r>
          </w:p>
          <w:p w:rsidR="00EC4DF5" w:rsidRDefault="00B03940" w:rsidP="00BB1EAD">
            <w:pPr>
              <w:rPr>
                <w:rFonts w:ascii="Times New Roman" w:hAnsi="Times New Roman"/>
                <w:szCs w:val="24"/>
              </w:rPr>
            </w:pPr>
            <w:r w:rsidRPr="00D24892">
              <w:rPr>
                <w:rFonts w:ascii="Times New Roman" w:hAnsi="Times New Roman"/>
                <w:szCs w:val="24"/>
              </w:rPr>
              <w:t xml:space="preserve">до рішення </w:t>
            </w:r>
            <w:r w:rsidR="00D378E8">
              <w:rPr>
                <w:rFonts w:ascii="Times New Roman" w:hAnsi="Times New Roman"/>
                <w:szCs w:val="24"/>
              </w:rPr>
              <w:t>тридцятої</w:t>
            </w:r>
            <w:r w:rsidR="00EC4DF5">
              <w:rPr>
                <w:rFonts w:ascii="Times New Roman" w:hAnsi="Times New Roman"/>
                <w:szCs w:val="24"/>
              </w:rPr>
              <w:t xml:space="preserve"> сесії сьомого скликання</w:t>
            </w:r>
          </w:p>
          <w:p w:rsidR="00B03940" w:rsidRPr="00D24892" w:rsidRDefault="00B03940" w:rsidP="00BB1EAD">
            <w:pPr>
              <w:rPr>
                <w:rFonts w:ascii="Times New Roman" w:hAnsi="Times New Roman"/>
                <w:szCs w:val="24"/>
              </w:rPr>
            </w:pPr>
            <w:proofErr w:type="spellStart"/>
            <w:r w:rsidRPr="00D24892">
              <w:rPr>
                <w:rFonts w:ascii="Times New Roman" w:hAnsi="Times New Roman"/>
                <w:szCs w:val="24"/>
              </w:rPr>
              <w:t>Срібнянської</w:t>
            </w:r>
            <w:proofErr w:type="spellEnd"/>
            <w:r w:rsidRPr="00D24892">
              <w:rPr>
                <w:rFonts w:ascii="Times New Roman" w:hAnsi="Times New Roman"/>
                <w:szCs w:val="24"/>
              </w:rPr>
              <w:t xml:space="preserve"> селищної ради </w:t>
            </w:r>
          </w:p>
          <w:p w:rsidR="00B03940" w:rsidRDefault="00A6556C" w:rsidP="00BB1EAD">
            <w:pPr>
              <w:rPr>
                <w:rFonts w:ascii="Times New Roman" w:hAnsi="Times New Roman"/>
                <w:szCs w:val="24"/>
              </w:rPr>
            </w:pPr>
            <w:r>
              <w:rPr>
                <w:rFonts w:ascii="Times New Roman" w:hAnsi="Times New Roman"/>
                <w:szCs w:val="24"/>
              </w:rPr>
              <w:t>19</w:t>
            </w:r>
            <w:r w:rsidR="00D378E8">
              <w:rPr>
                <w:rFonts w:ascii="Times New Roman" w:hAnsi="Times New Roman"/>
                <w:szCs w:val="24"/>
              </w:rPr>
              <w:t>.06</w:t>
            </w:r>
            <w:r w:rsidR="00EC4DF5">
              <w:rPr>
                <w:rFonts w:ascii="Times New Roman" w:hAnsi="Times New Roman"/>
                <w:szCs w:val="24"/>
              </w:rPr>
              <w:t>.20</w:t>
            </w:r>
            <w:r w:rsidR="00F16C49">
              <w:rPr>
                <w:rFonts w:ascii="Times New Roman" w:hAnsi="Times New Roman"/>
                <w:szCs w:val="24"/>
              </w:rPr>
              <w:t>20</w:t>
            </w:r>
          </w:p>
          <w:p w:rsidR="00EC4DF5" w:rsidRPr="00D24892" w:rsidRDefault="00EC4DF5" w:rsidP="00BB1EAD">
            <w:pPr>
              <w:rPr>
                <w:rFonts w:ascii="Times New Roman" w:hAnsi="Times New Roman"/>
                <w:szCs w:val="24"/>
              </w:rPr>
            </w:pPr>
          </w:p>
        </w:tc>
      </w:tr>
    </w:tbl>
    <w:p w:rsidR="00B03940" w:rsidRPr="00D24892" w:rsidRDefault="00B03940" w:rsidP="00B03940">
      <w:pPr>
        <w:jc w:val="center"/>
        <w:rPr>
          <w:rFonts w:ascii="Times New Roman" w:hAnsi="Times New Roman"/>
          <w:b/>
          <w:szCs w:val="24"/>
        </w:rPr>
      </w:pPr>
      <w:r w:rsidRPr="00D24892">
        <w:rPr>
          <w:rFonts w:ascii="Times New Roman" w:hAnsi="Times New Roman"/>
          <w:b/>
          <w:bCs/>
          <w:szCs w:val="24"/>
        </w:rPr>
        <w:t xml:space="preserve">Положення про порядок сплати податку на нерухоме майно, відмінне від земельної ділянки на території  </w:t>
      </w:r>
      <w:proofErr w:type="spellStart"/>
      <w:r w:rsidRPr="00D24892">
        <w:rPr>
          <w:rFonts w:ascii="Times New Roman" w:hAnsi="Times New Roman"/>
          <w:b/>
          <w:szCs w:val="24"/>
        </w:rPr>
        <w:t>Срібнянської</w:t>
      </w:r>
      <w:proofErr w:type="spellEnd"/>
      <w:r w:rsidRPr="00D24892">
        <w:rPr>
          <w:rFonts w:ascii="Times New Roman" w:hAnsi="Times New Roman"/>
          <w:b/>
          <w:szCs w:val="24"/>
        </w:rPr>
        <w:t xml:space="preserve"> селищної ради</w:t>
      </w:r>
    </w:p>
    <w:p w:rsidR="00B03940" w:rsidRPr="00D24892" w:rsidRDefault="00B03940" w:rsidP="00A6556C">
      <w:pPr>
        <w:numPr>
          <w:ilvl w:val="0"/>
          <w:numId w:val="1"/>
        </w:numPr>
        <w:ind w:left="0" w:firstLine="0"/>
        <w:jc w:val="both"/>
        <w:rPr>
          <w:rFonts w:ascii="Times New Roman" w:hAnsi="Times New Roman"/>
          <w:szCs w:val="24"/>
        </w:rPr>
      </w:pPr>
      <w:r w:rsidRPr="00D24892">
        <w:rPr>
          <w:rFonts w:ascii="Times New Roman" w:hAnsi="Times New Roman"/>
          <w:b/>
          <w:bCs/>
          <w:szCs w:val="24"/>
        </w:rPr>
        <w:t>Платники податку:</w:t>
      </w:r>
    </w:p>
    <w:p w:rsidR="00B03940" w:rsidRPr="00D24892" w:rsidRDefault="003C2EBB" w:rsidP="00A6556C">
      <w:pPr>
        <w:jc w:val="both"/>
        <w:rPr>
          <w:rFonts w:ascii="Times New Roman" w:hAnsi="Times New Roman"/>
          <w:szCs w:val="24"/>
        </w:rPr>
      </w:pPr>
      <w:r>
        <w:rPr>
          <w:rFonts w:ascii="Times New Roman" w:hAnsi="Times New Roman"/>
          <w:szCs w:val="24"/>
        </w:rPr>
        <w:t xml:space="preserve">      </w:t>
      </w:r>
      <w:r w:rsidR="00B03940" w:rsidRPr="00D24892">
        <w:rPr>
          <w:rFonts w:ascii="Times New Roman" w:hAnsi="Times New Roman"/>
          <w:szCs w:val="24"/>
        </w:rPr>
        <w:t xml:space="preserve">Платниками податку є фізичні та юридичні особи, в тому числі нерезиденти, які є власниками об’єктів житлової та/або нежитлової нерухомості на території  </w:t>
      </w:r>
      <w:proofErr w:type="spellStart"/>
      <w:r w:rsidR="00B03940" w:rsidRPr="00D24892">
        <w:rPr>
          <w:rFonts w:ascii="Times New Roman" w:hAnsi="Times New Roman"/>
          <w:szCs w:val="24"/>
        </w:rPr>
        <w:t>Срібнянської</w:t>
      </w:r>
      <w:proofErr w:type="spellEnd"/>
      <w:r w:rsidR="00B03940" w:rsidRPr="00D24892">
        <w:rPr>
          <w:rFonts w:ascii="Times New Roman" w:hAnsi="Times New Roman"/>
          <w:szCs w:val="24"/>
        </w:rPr>
        <w:t xml:space="preserve"> селищної ради </w:t>
      </w:r>
    </w:p>
    <w:p w:rsidR="00B03940" w:rsidRPr="00D24892" w:rsidRDefault="00B03940" w:rsidP="00A6556C">
      <w:pPr>
        <w:jc w:val="both"/>
        <w:rPr>
          <w:rFonts w:ascii="Times New Roman" w:hAnsi="Times New Roman"/>
          <w:szCs w:val="24"/>
        </w:rPr>
      </w:pPr>
      <w:r w:rsidRPr="00D24892">
        <w:rPr>
          <w:rFonts w:ascii="Times New Roman" w:hAnsi="Times New Roman"/>
          <w:b/>
          <w:bCs/>
          <w:szCs w:val="24"/>
        </w:rPr>
        <w:t>2. Об’єкт оподаткування</w:t>
      </w:r>
    </w:p>
    <w:p w:rsidR="00B03940" w:rsidRPr="00D24892" w:rsidRDefault="003C2EBB" w:rsidP="00A6556C">
      <w:pPr>
        <w:jc w:val="both"/>
        <w:rPr>
          <w:rFonts w:ascii="Times New Roman" w:hAnsi="Times New Roman"/>
          <w:szCs w:val="24"/>
        </w:rPr>
      </w:pPr>
      <w:r>
        <w:rPr>
          <w:rFonts w:ascii="Times New Roman" w:hAnsi="Times New Roman"/>
          <w:szCs w:val="24"/>
        </w:rPr>
        <w:t xml:space="preserve">    </w:t>
      </w:r>
      <w:r w:rsidR="00B03940" w:rsidRPr="00D24892">
        <w:rPr>
          <w:rFonts w:ascii="Times New Roman" w:hAnsi="Times New Roman"/>
          <w:szCs w:val="24"/>
        </w:rPr>
        <w:t>Об'єктом оподаткування є об’єкт житлової та нежитлової нерухомості, в тому числі його частка.</w:t>
      </w:r>
    </w:p>
    <w:p w:rsidR="00B03940" w:rsidRPr="00D24892" w:rsidRDefault="00B03940" w:rsidP="00A6556C">
      <w:pPr>
        <w:jc w:val="both"/>
        <w:rPr>
          <w:rFonts w:ascii="Times New Roman" w:hAnsi="Times New Roman"/>
          <w:szCs w:val="24"/>
        </w:rPr>
      </w:pPr>
      <w:r w:rsidRPr="00D24892">
        <w:rPr>
          <w:rFonts w:ascii="Times New Roman" w:hAnsi="Times New Roman"/>
          <w:szCs w:val="24"/>
        </w:rPr>
        <w:t>Не є об’єктом оподаткування:</w:t>
      </w:r>
    </w:p>
    <w:p w:rsidR="00B03940" w:rsidRPr="00D24892" w:rsidRDefault="00B03940" w:rsidP="00A6556C">
      <w:pPr>
        <w:jc w:val="both"/>
        <w:rPr>
          <w:rFonts w:ascii="Times New Roman" w:hAnsi="Times New Roman"/>
          <w:szCs w:val="24"/>
        </w:rPr>
      </w:pPr>
      <w:r w:rsidRPr="00D24892">
        <w:rPr>
          <w:rFonts w:ascii="Times New Roman" w:hAnsi="Times New Roman"/>
          <w:szCs w:val="24"/>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B03940" w:rsidRPr="00D24892" w:rsidRDefault="00B03940" w:rsidP="00A6556C">
      <w:pPr>
        <w:jc w:val="both"/>
        <w:rPr>
          <w:rFonts w:ascii="Times New Roman" w:hAnsi="Times New Roman"/>
          <w:szCs w:val="24"/>
        </w:rPr>
      </w:pPr>
    </w:p>
    <w:p w:rsidR="00B03940" w:rsidRPr="00D24892" w:rsidRDefault="00B03940" w:rsidP="00A6556C">
      <w:pPr>
        <w:jc w:val="both"/>
        <w:rPr>
          <w:rFonts w:ascii="Times New Roman" w:hAnsi="Times New Roman"/>
          <w:szCs w:val="24"/>
        </w:rPr>
      </w:pPr>
      <w:r w:rsidRPr="00D24892">
        <w:rPr>
          <w:rFonts w:ascii="Times New Roman" w:hAnsi="Times New Roman"/>
          <w:szCs w:val="24"/>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B03940" w:rsidRPr="00D24892" w:rsidRDefault="00B03940" w:rsidP="00A6556C">
      <w:pPr>
        <w:jc w:val="both"/>
        <w:rPr>
          <w:rFonts w:ascii="Times New Roman" w:hAnsi="Times New Roman"/>
          <w:szCs w:val="24"/>
        </w:rPr>
      </w:pPr>
    </w:p>
    <w:p w:rsidR="00B03940" w:rsidRPr="00D24892" w:rsidRDefault="00B03940" w:rsidP="00A6556C">
      <w:pPr>
        <w:jc w:val="both"/>
        <w:rPr>
          <w:rFonts w:ascii="Times New Roman" w:hAnsi="Times New Roman"/>
          <w:szCs w:val="24"/>
        </w:rPr>
      </w:pPr>
      <w:r w:rsidRPr="00D24892">
        <w:rPr>
          <w:rFonts w:ascii="Times New Roman" w:hAnsi="Times New Roman"/>
          <w:szCs w:val="24"/>
        </w:rPr>
        <w:t>в) будівлі дитячих будинків сімейного типу;</w:t>
      </w:r>
    </w:p>
    <w:p w:rsidR="00B03940" w:rsidRPr="00D24892" w:rsidRDefault="00B03940" w:rsidP="00A6556C">
      <w:pPr>
        <w:jc w:val="both"/>
        <w:rPr>
          <w:rFonts w:ascii="Times New Roman" w:hAnsi="Times New Roman"/>
          <w:szCs w:val="24"/>
        </w:rPr>
      </w:pPr>
    </w:p>
    <w:p w:rsidR="00B03940" w:rsidRPr="00D24892" w:rsidRDefault="00B03940" w:rsidP="00A6556C">
      <w:pPr>
        <w:jc w:val="both"/>
        <w:rPr>
          <w:rFonts w:ascii="Times New Roman" w:hAnsi="Times New Roman"/>
          <w:szCs w:val="24"/>
        </w:rPr>
      </w:pPr>
      <w:r w:rsidRPr="00D24892">
        <w:rPr>
          <w:rFonts w:ascii="Times New Roman" w:hAnsi="Times New Roman"/>
          <w:szCs w:val="24"/>
        </w:rPr>
        <w:t>г) гуртожитки;</w:t>
      </w:r>
    </w:p>
    <w:p w:rsidR="00B03940" w:rsidRPr="00D24892" w:rsidRDefault="00B03940" w:rsidP="00A6556C">
      <w:pPr>
        <w:jc w:val="both"/>
        <w:rPr>
          <w:rFonts w:ascii="Times New Roman" w:hAnsi="Times New Roman"/>
          <w:szCs w:val="24"/>
        </w:rPr>
      </w:pPr>
    </w:p>
    <w:p w:rsidR="00B03940" w:rsidRPr="00D24892" w:rsidRDefault="00B03940" w:rsidP="00A6556C">
      <w:pPr>
        <w:jc w:val="both"/>
        <w:rPr>
          <w:rFonts w:ascii="Times New Roman" w:hAnsi="Times New Roman"/>
          <w:szCs w:val="24"/>
        </w:rPr>
      </w:pPr>
      <w:r w:rsidRPr="00D24892">
        <w:rPr>
          <w:rFonts w:ascii="Times New Roman" w:hAnsi="Times New Roman"/>
          <w:szCs w:val="24"/>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B03940" w:rsidRPr="00D24892" w:rsidRDefault="00B03940" w:rsidP="00A6556C">
      <w:pPr>
        <w:jc w:val="both"/>
        <w:rPr>
          <w:rFonts w:ascii="Times New Roman" w:hAnsi="Times New Roman"/>
          <w:szCs w:val="24"/>
        </w:rPr>
      </w:pPr>
    </w:p>
    <w:p w:rsidR="00B03940" w:rsidRPr="00D24892" w:rsidRDefault="00B03940" w:rsidP="00A6556C">
      <w:pPr>
        <w:jc w:val="both"/>
        <w:rPr>
          <w:rFonts w:ascii="Times New Roman" w:hAnsi="Times New Roman"/>
          <w:szCs w:val="24"/>
        </w:rPr>
      </w:pPr>
      <w:r w:rsidRPr="00D24892">
        <w:rPr>
          <w:rFonts w:ascii="Times New Roman" w:hAnsi="Times New Roman"/>
          <w:szCs w:val="24"/>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B03940" w:rsidRPr="00D24892" w:rsidRDefault="00B03940" w:rsidP="00A6556C">
      <w:pPr>
        <w:jc w:val="both"/>
        <w:rPr>
          <w:rFonts w:ascii="Times New Roman" w:hAnsi="Times New Roman"/>
          <w:szCs w:val="24"/>
        </w:rPr>
      </w:pPr>
    </w:p>
    <w:p w:rsidR="00B03940" w:rsidRPr="00D24892" w:rsidRDefault="00B03940" w:rsidP="00A6556C">
      <w:pPr>
        <w:jc w:val="both"/>
        <w:rPr>
          <w:rFonts w:ascii="Times New Roman" w:hAnsi="Times New Roman"/>
          <w:szCs w:val="24"/>
        </w:rPr>
      </w:pPr>
      <w:r w:rsidRPr="00D24892">
        <w:rPr>
          <w:rFonts w:ascii="Times New Roman" w:hAnsi="Times New Roman"/>
          <w:szCs w:val="24"/>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B03940" w:rsidRPr="00D24892" w:rsidRDefault="00B03940" w:rsidP="00A6556C">
      <w:pPr>
        <w:jc w:val="both"/>
        <w:rPr>
          <w:rFonts w:ascii="Times New Roman" w:hAnsi="Times New Roman"/>
          <w:szCs w:val="24"/>
        </w:rPr>
      </w:pPr>
    </w:p>
    <w:p w:rsidR="00B03940" w:rsidRPr="00D24892" w:rsidRDefault="00B03940" w:rsidP="00A6556C">
      <w:pPr>
        <w:jc w:val="both"/>
        <w:rPr>
          <w:rFonts w:ascii="Times New Roman" w:hAnsi="Times New Roman"/>
          <w:szCs w:val="24"/>
        </w:rPr>
      </w:pPr>
      <w:r w:rsidRPr="00D24892">
        <w:rPr>
          <w:rFonts w:ascii="Times New Roman" w:hAnsi="Times New Roman"/>
          <w:szCs w:val="24"/>
        </w:rPr>
        <w:t>є) будівлі промисловості, зокрема виробничі корпуси, цехи, складські приміщення промислових підприємств;</w:t>
      </w:r>
    </w:p>
    <w:p w:rsidR="00B03940" w:rsidRPr="00D24892" w:rsidRDefault="00B03940" w:rsidP="00A6556C">
      <w:pPr>
        <w:jc w:val="both"/>
        <w:rPr>
          <w:rFonts w:ascii="Times New Roman" w:hAnsi="Times New Roman"/>
          <w:szCs w:val="24"/>
        </w:rPr>
      </w:pPr>
    </w:p>
    <w:p w:rsidR="00B03940" w:rsidRPr="00D24892" w:rsidRDefault="00B03940" w:rsidP="00A6556C">
      <w:pPr>
        <w:jc w:val="both"/>
        <w:rPr>
          <w:rFonts w:ascii="Times New Roman" w:hAnsi="Times New Roman"/>
          <w:szCs w:val="24"/>
        </w:rPr>
      </w:pPr>
      <w:r w:rsidRPr="00D24892">
        <w:rPr>
          <w:rFonts w:ascii="Times New Roman" w:hAnsi="Times New Roman"/>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B03940" w:rsidRPr="00D24892" w:rsidRDefault="00B03940" w:rsidP="00A6556C">
      <w:pPr>
        <w:jc w:val="both"/>
        <w:rPr>
          <w:rFonts w:ascii="Times New Roman" w:hAnsi="Times New Roman"/>
          <w:szCs w:val="24"/>
        </w:rPr>
      </w:pPr>
    </w:p>
    <w:p w:rsidR="00B03940" w:rsidRPr="00D24892" w:rsidRDefault="00B03940" w:rsidP="00A6556C">
      <w:pPr>
        <w:jc w:val="both"/>
        <w:rPr>
          <w:rFonts w:ascii="Times New Roman" w:hAnsi="Times New Roman"/>
          <w:szCs w:val="24"/>
        </w:rPr>
      </w:pPr>
      <w:r w:rsidRPr="00D24892">
        <w:rPr>
          <w:rFonts w:ascii="Times New Roman" w:hAnsi="Times New Roman"/>
          <w:szCs w:val="24"/>
        </w:rPr>
        <w:t>з) об’єкти житлової та нежитлової нерухомості, які перебувають у власності громадських організацій інвалідів та їх підприємств;</w:t>
      </w:r>
    </w:p>
    <w:p w:rsidR="00B03940" w:rsidRPr="00D24892" w:rsidRDefault="00B03940" w:rsidP="00A6556C">
      <w:pPr>
        <w:jc w:val="both"/>
        <w:rPr>
          <w:rFonts w:ascii="Times New Roman" w:hAnsi="Times New Roman"/>
          <w:szCs w:val="24"/>
        </w:rPr>
      </w:pPr>
    </w:p>
    <w:p w:rsidR="00B03940" w:rsidRPr="00D24892" w:rsidRDefault="00B03940" w:rsidP="00A6556C">
      <w:pPr>
        <w:jc w:val="both"/>
        <w:rPr>
          <w:rFonts w:ascii="Times New Roman" w:hAnsi="Times New Roman"/>
          <w:szCs w:val="24"/>
        </w:rPr>
      </w:pPr>
      <w:r w:rsidRPr="00D24892">
        <w:rPr>
          <w:rFonts w:ascii="Times New Roman" w:hAnsi="Times New Roman"/>
          <w:szCs w:val="24"/>
        </w:rPr>
        <w:t xml:space="preserve">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w:t>
      </w:r>
      <w:r w:rsidRPr="00D24892">
        <w:rPr>
          <w:rFonts w:ascii="Times New Roman" w:hAnsi="Times New Roman"/>
          <w:szCs w:val="24"/>
        </w:rPr>
        <w:lastRenderedPageBreak/>
        <w:t>інтернати, лікарні тощо), крім об’єктів нерухомості, в яких здійснюється виробнича та/або господарська діяльність;</w:t>
      </w:r>
    </w:p>
    <w:p w:rsidR="00B03940" w:rsidRPr="00D24892" w:rsidRDefault="00B03940" w:rsidP="00A6556C">
      <w:pPr>
        <w:jc w:val="both"/>
        <w:rPr>
          <w:rFonts w:ascii="Times New Roman" w:hAnsi="Times New Roman"/>
          <w:szCs w:val="24"/>
        </w:rPr>
      </w:pPr>
    </w:p>
    <w:p w:rsidR="00B03940" w:rsidRPr="00D24892" w:rsidRDefault="00B03940" w:rsidP="00A6556C">
      <w:pPr>
        <w:jc w:val="both"/>
        <w:rPr>
          <w:rFonts w:ascii="Times New Roman" w:hAnsi="Times New Roman"/>
          <w:szCs w:val="24"/>
        </w:rPr>
      </w:pPr>
      <w:r w:rsidRPr="00D24892">
        <w:rPr>
          <w:rFonts w:ascii="Times New Roman" w:hAnsi="Times New Roman"/>
          <w:szCs w:val="24"/>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B03940" w:rsidRPr="00D24892" w:rsidRDefault="00B03940" w:rsidP="00A6556C">
      <w:pPr>
        <w:jc w:val="both"/>
        <w:rPr>
          <w:rFonts w:ascii="Times New Roman" w:hAnsi="Times New Roman"/>
          <w:szCs w:val="24"/>
        </w:rPr>
      </w:pPr>
    </w:p>
    <w:p w:rsidR="00B03940" w:rsidRPr="00D24892" w:rsidRDefault="00B03940" w:rsidP="00A6556C">
      <w:pPr>
        <w:jc w:val="both"/>
        <w:rPr>
          <w:rFonts w:ascii="Times New Roman" w:hAnsi="Times New Roman"/>
          <w:szCs w:val="24"/>
        </w:rPr>
      </w:pPr>
      <w:r w:rsidRPr="00D24892">
        <w:rPr>
          <w:rFonts w:ascii="Times New Roman" w:hAnsi="Times New Roman"/>
          <w:szCs w:val="24"/>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B03940" w:rsidRPr="00D24892" w:rsidRDefault="00B03940" w:rsidP="00A6556C">
      <w:pPr>
        <w:jc w:val="both"/>
        <w:rPr>
          <w:rFonts w:ascii="Times New Roman" w:hAnsi="Times New Roman"/>
          <w:szCs w:val="24"/>
        </w:rPr>
      </w:pPr>
    </w:p>
    <w:p w:rsidR="00B03940" w:rsidRPr="00D24892" w:rsidRDefault="00B03940" w:rsidP="00A6556C">
      <w:pPr>
        <w:jc w:val="both"/>
        <w:rPr>
          <w:rFonts w:ascii="Times New Roman" w:hAnsi="Times New Roman"/>
          <w:szCs w:val="24"/>
        </w:rPr>
      </w:pPr>
      <w:r w:rsidRPr="00D24892">
        <w:rPr>
          <w:rFonts w:ascii="Times New Roman" w:hAnsi="Times New Roman"/>
          <w:szCs w:val="24"/>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B03940" w:rsidRPr="00D24892" w:rsidRDefault="00B03940" w:rsidP="00A6556C">
      <w:pPr>
        <w:jc w:val="both"/>
        <w:rPr>
          <w:rFonts w:ascii="Times New Roman" w:hAnsi="Times New Roman"/>
          <w:szCs w:val="24"/>
        </w:rPr>
      </w:pPr>
    </w:p>
    <w:p w:rsidR="00B03940" w:rsidRPr="00D24892" w:rsidRDefault="00B03940" w:rsidP="00A6556C">
      <w:pPr>
        <w:jc w:val="both"/>
        <w:rPr>
          <w:rFonts w:ascii="Times New Roman" w:hAnsi="Times New Roman"/>
          <w:szCs w:val="24"/>
        </w:rPr>
      </w:pPr>
      <w:r w:rsidRPr="00D24892">
        <w:rPr>
          <w:rFonts w:ascii="Times New Roman" w:hAnsi="Times New Roman"/>
          <w:szCs w:val="24"/>
        </w:rPr>
        <w:t xml:space="preserve">к) об’єкти нежитлової нерухомості баз олімпійської та </w:t>
      </w:r>
      <w:proofErr w:type="spellStart"/>
      <w:r w:rsidRPr="00D24892">
        <w:rPr>
          <w:rFonts w:ascii="Times New Roman" w:hAnsi="Times New Roman"/>
          <w:szCs w:val="24"/>
        </w:rPr>
        <w:t>паралімпійської</w:t>
      </w:r>
      <w:proofErr w:type="spellEnd"/>
      <w:r w:rsidRPr="00D24892">
        <w:rPr>
          <w:rFonts w:ascii="Times New Roman" w:hAnsi="Times New Roman"/>
          <w:szCs w:val="24"/>
        </w:rPr>
        <w:t xml:space="preserve"> підготовки. Перелік таких баз затверджується Кабінетом Міністрів України;</w:t>
      </w:r>
    </w:p>
    <w:p w:rsidR="00B03940" w:rsidRPr="00D24892" w:rsidRDefault="00B03940" w:rsidP="00A6556C">
      <w:pPr>
        <w:jc w:val="both"/>
        <w:rPr>
          <w:rFonts w:ascii="Times New Roman" w:hAnsi="Times New Roman"/>
          <w:szCs w:val="24"/>
        </w:rPr>
      </w:pPr>
    </w:p>
    <w:p w:rsidR="00B03940" w:rsidRPr="00D24892" w:rsidRDefault="00B03940" w:rsidP="00A6556C">
      <w:pPr>
        <w:jc w:val="both"/>
        <w:rPr>
          <w:rFonts w:ascii="Times New Roman" w:hAnsi="Times New Roman"/>
          <w:szCs w:val="24"/>
        </w:rPr>
      </w:pPr>
      <w:r w:rsidRPr="00D24892">
        <w:rPr>
          <w:rFonts w:ascii="Times New Roman" w:hAnsi="Times New Roman"/>
          <w:szCs w:val="24"/>
        </w:rPr>
        <w:t>л) об’єкти житлової нерухомості, які належать багатодітним або прийомним сім’ям, у яких виховується п’ять та більше дітей.</w:t>
      </w:r>
    </w:p>
    <w:p w:rsidR="00B03940" w:rsidRPr="00D24892" w:rsidRDefault="00B03940" w:rsidP="00A6556C">
      <w:pPr>
        <w:jc w:val="both"/>
        <w:rPr>
          <w:rFonts w:ascii="Times New Roman" w:hAnsi="Times New Roman"/>
          <w:szCs w:val="24"/>
        </w:rPr>
      </w:pPr>
      <w:r w:rsidRPr="00D24892">
        <w:rPr>
          <w:rFonts w:ascii="Times New Roman" w:hAnsi="Times New Roman"/>
          <w:b/>
          <w:bCs/>
          <w:szCs w:val="24"/>
        </w:rPr>
        <w:t>3. База оподаткування:</w:t>
      </w:r>
    </w:p>
    <w:p w:rsidR="00B03940" w:rsidRPr="00D24892" w:rsidRDefault="00B03940" w:rsidP="00A6556C">
      <w:pPr>
        <w:ind w:firstLine="450"/>
        <w:jc w:val="both"/>
        <w:textAlignment w:val="baseline"/>
        <w:rPr>
          <w:rFonts w:ascii="Times New Roman" w:hAnsi="Times New Roman"/>
          <w:szCs w:val="24"/>
        </w:rPr>
      </w:pPr>
      <w:r w:rsidRPr="00D24892">
        <w:rPr>
          <w:rFonts w:ascii="Times New Roman" w:hAnsi="Times New Roman"/>
          <w:szCs w:val="24"/>
        </w:rPr>
        <w:t>Базою оподаткування є загальна площа об’єкта житлової та нежитлової нерухомості, в тому числі його часток.</w:t>
      </w:r>
    </w:p>
    <w:p w:rsidR="00B03940" w:rsidRPr="00D24892" w:rsidRDefault="00B03940" w:rsidP="00A6556C">
      <w:pPr>
        <w:ind w:firstLine="450"/>
        <w:jc w:val="both"/>
        <w:textAlignment w:val="baseline"/>
        <w:rPr>
          <w:rFonts w:ascii="Times New Roman" w:hAnsi="Times New Roman"/>
          <w:szCs w:val="24"/>
          <w:bdr w:val="none" w:sz="0" w:space="0" w:color="auto" w:frame="1"/>
        </w:rPr>
      </w:pPr>
      <w:r w:rsidRPr="00D24892">
        <w:rPr>
          <w:rFonts w:ascii="Times New Roman" w:hAnsi="Times New Roman"/>
          <w:szCs w:val="24"/>
          <w:bdr w:val="none" w:sz="0" w:space="0" w:color="auto" w:frame="1"/>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B03940" w:rsidRPr="00D24892" w:rsidRDefault="00B03940" w:rsidP="00A6556C">
      <w:pPr>
        <w:ind w:firstLine="450"/>
        <w:jc w:val="both"/>
        <w:textAlignment w:val="baseline"/>
        <w:rPr>
          <w:rFonts w:ascii="Times New Roman" w:hAnsi="Times New Roman"/>
          <w:szCs w:val="24"/>
          <w:bdr w:val="none" w:sz="0" w:space="0" w:color="auto" w:frame="1"/>
        </w:rPr>
      </w:pPr>
      <w:bookmarkStart w:id="0" w:name="n11804"/>
      <w:bookmarkEnd w:id="0"/>
      <w:r w:rsidRPr="00D24892">
        <w:rPr>
          <w:rFonts w:ascii="Times New Roman" w:hAnsi="Times New Roman"/>
          <w:szCs w:val="24"/>
          <w:bdr w:val="none" w:sz="0" w:space="0" w:color="auto" w:frame="1"/>
        </w:rPr>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B03940" w:rsidRPr="00D24892" w:rsidRDefault="00B03940" w:rsidP="00A6556C">
      <w:pPr>
        <w:jc w:val="both"/>
        <w:rPr>
          <w:rFonts w:ascii="Times New Roman" w:hAnsi="Times New Roman"/>
          <w:b/>
          <w:bCs/>
          <w:szCs w:val="24"/>
        </w:rPr>
      </w:pPr>
      <w:r w:rsidRPr="00D24892">
        <w:rPr>
          <w:rFonts w:ascii="Times New Roman" w:hAnsi="Times New Roman"/>
          <w:b/>
          <w:szCs w:val="24"/>
        </w:rPr>
        <w:t>4</w:t>
      </w:r>
      <w:r w:rsidRPr="00D24892">
        <w:rPr>
          <w:rFonts w:ascii="Times New Roman" w:hAnsi="Times New Roman"/>
          <w:b/>
          <w:bCs/>
          <w:szCs w:val="24"/>
        </w:rPr>
        <w:t>. Ставки податку:</w:t>
      </w:r>
    </w:p>
    <w:p w:rsidR="00B03940" w:rsidRPr="00D24892" w:rsidRDefault="00B03940" w:rsidP="00A6556C">
      <w:pPr>
        <w:jc w:val="both"/>
        <w:rPr>
          <w:rFonts w:ascii="Times New Roman" w:hAnsi="Times New Roman"/>
          <w:szCs w:val="24"/>
        </w:rPr>
      </w:pPr>
      <w:r w:rsidRPr="00D24892">
        <w:rPr>
          <w:rFonts w:ascii="Times New Roman" w:hAnsi="Times New Roman"/>
          <w:szCs w:val="24"/>
        </w:rPr>
        <w:t>Ставка податку для об’єктів житлової та нежитлової нерухомості, що перебувають у власності юридичних осіб встановити у розмірі</w:t>
      </w:r>
      <w:r w:rsidRPr="00D24892">
        <w:rPr>
          <w:rFonts w:ascii="Times New Roman" w:hAnsi="Times New Roman"/>
          <w:b/>
          <w:bCs/>
          <w:szCs w:val="24"/>
        </w:rPr>
        <w:t xml:space="preserve"> 0, 1 % </w:t>
      </w:r>
      <w:r w:rsidRPr="00D24892">
        <w:rPr>
          <w:rFonts w:ascii="Times New Roman" w:hAnsi="Times New Roman"/>
          <w:szCs w:val="24"/>
        </w:rPr>
        <w:t xml:space="preserve">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24892">
          <w:rPr>
            <w:rFonts w:ascii="Times New Roman" w:hAnsi="Times New Roman"/>
            <w:szCs w:val="24"/>
          </w:rPr>
          <w:t>1 кв. метр</w:t>
        </w:r>
      </w:smartTag>
      <w:r w:rsidRPr="00D24892">
        <w:rPr>
          <w:rFonts w:ascii="Times New Roman" w:hAnsi="Times New Roman"/>
          <w:szCs w:val="24"/>
        </w:rPr>
        <w:t xml:space="preserve"> бази оподаткування</w:t>
      </w:r>
      <w:r w:rsidRPr="00D24892">
        <w:rPr>
          <w:rFonts w:ascii="Times New Roman" w:hAnsi="Times New Roman"/>
          <w:bCs/>
          <w:szCs w:val="24"/>
        </w:rPr>
        <w:t xml:space="preserve"> (ставка не повинна перевищувати </w:t>
      </w:r>
      <w:r w:rsidRPr="00D24892">
        <w:rPr>
          <w:rFonts w:ascii="Times New Roman" w:hAnsi="Times New Roman"/>
          <w:b/>
          <w:bCs/>
          <w:szCs w:val="24"/>
          <w:lang w:val="ru-RU"/>
        </w:rPr>
        <w:t>1,5</w:t>
      </w:r>
      <w:r w:rsidRPr="00D24892">
        <w:rPr>
          <w:rFonts w:ascii="Times New Roman" w:hAnsi="Times New Roman"/>
          <w:bCs/>
          <w:szCs w:val="24"/>
        </w:rPr>
        <w:t xml:space="preserve"> відсотка </w:t>
      </w:r>
      <w:r w:rsidRPr="00D24892">
        <w:rPr>
          <w:rFonts w:ascii="Times New Roman" w:hAnsi="Times New Roman"/>
          <w:szCs w:val="24"/>
        </w:rPr>
        <w:t xml:space="preserve">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24892">
          <w:rPr>
            <w:rFonts w:ascii="Times New Roman" w:hAnsi="Times New Roman"/>
            <w:szCs w:val="24"/>
          </w:rPr>
          <w:t>1 кв. метр</w:t>
        </w:r>
      </w:smartTag>
      <w:r w:rsidRPr="00D24892">
        <w:rPr>
          <w:rFonts w:ascii="Times New Roman" w:hAnsi="Times New Roman"/>
          <w:szCs w:val="24"/>
        </w:rPr>
        <w:t xml:space="preserve"> бази оподаткування</w:t>
      </w:r>
      <w:r w:rsidRPr="00D24892">
        <w:rPr>
          <w:rFonts w:ascii="Times New Roman" w:hAnsi="Times New Roman"/>
          <w:b/>
          <w:bCs/>
          <w:szCs w:val="24"/>
        </w:rPr>
        <w:t>)</w:t>
      </w:r>
    </w:p>
    <w:p w:rsidR="00B03940" w:rsidRPr="00D24892" w:rsidRDefault="00B03940" w:rsidP="00A6556C">
      <w:pPr>
        <w:jc w:val="both"/>
        <w:rPr>
          <w:rFonts w:ascii="Times New Roman" w:hAnsi="Times New Roman"/>
          <w:szCs w:val="24"/>
        </w:rPr>
      </w:pPr>
      <w:r w:rsidRPr="00D24892">
        <w:rPr>
          <w:rFonts w:ascii="Times New Roman" w:hAnsi="Times New Roman"/>
          <w:szCs w:val="24"/>
        </w:rPr>
        <w:t>Ставка податку для об’єктів житлової нерухомості, що перебувають у власності фізичних осіб встановити у розмірі</w:t>
      </w:r>
      <w:r w:rsidRPr="00D24892">
        <w:rPr>
          <w:rFonts w:ascii="Times New Roman" w:hAnsi="Times New Roman"/>
          <w:b/>
          <w:bCs/>
          <w:szCs w:val="24"/>
        </w:rPr>
        <w:t xml:space="preserve"> 0,1 % </w:t>
      </w:r>
      <w:r w:rsidRPr="00D24892">
        <w:rPr>
          <w:rFonts w:ascii="Times New Roman" w:hAnsi="Times New Roman"/>
          <w:szCs w:val="24"/>
        </w:rPr>
        <w:t xml:space="preserve"> розміру мінімальної заробітної плати, встановленої законом </w:t>
      </w:r>
      <w:r w:rsidRPr="00D24892">
        <w:rPr>
          <w:rFonts w:ascii="Times New Roman" w:hAnsi="Times New Roman"/>
          <w:szCs w:val="24"/>
        </w:rPr>
        <w:lastRenderedPageBreak/>
        <w:t xml:space="preserve">на 1 січня звітного (податкового) року, за </w:t>
      </w:r>
      <w:smartTag w:uri="urn:schemas-microsoft-com:office:smarttags" w:element="metricconverter">
        <w:smartTagPr>
          <w:attr w:name="ProductID" w:val="1 кв. метр"/>
        </w:smartTagPr>
        <w:r w:rsidRPr="00D24892">
          <w:rPr>
            <w:rFonts w:ascii="Times New Roman" w:hAnsi="Times New Roman"/>
            <w:szCs w:val="24"/>
          </w:rPr>
          <w:t>1 кв. метр</w:t>
        </w:r>
      </w:smartTag>
      <w:r w:rsidRPr="00D24892">
        <w:rPr>
          <w:rFonts w:ascii="Times New Roman" w:hAnsi="Times New Roman"/>
          <w:szCs w:val="24"/>
        </w:rPr>
        <w:t xml:space="preserve"> бази оподаткування</w:t>
      </w:r>
      <w:r w:rsidRPr="00D24892">
        <w:rPr>
          <w:rFonts w:ascii="Times New Roman" w:hAnsi="Times New Roman"/>
          <w:bCs/>
          <w:szCs w:val="24"/>
        </w:rPr>
        <w:t xml:space="preserve"> (ставка не повинна перевищувати </w:t>
      </w:r>
      <w:r w:rsidRPr="00D24892">
        <w:rPr>
          <w:rFonts w:ascii="Times New Roman" w:hAnsi="Times New Roman"/>
          <w:b/>
          <w:bCs/>
          <w:szCs w:val="24"/>
          <w:lang w:val="ru-RU"/>
        </w:rPr>
        <w:t>1,5</w:t>
      </w:r>
      <w:r w:rsidRPr="00D24892">
        <w:rPr>
          <w:rFonts w:ascii="Times New Roman" w:hAnsi="Times New Roman"/>
          <w:bCs/>
          <w:szCs w:val="24"/>
        </w:rPr>
        <w:t xml:space="preserve"> відсотка </w:t>
      </w:r>
      <w:r w:rsidRPr="00D24892">
        <w:rPr>
          <w:rFonts w:ascii="Times New Roman" w:hAnsi="Times New Roman"/>
          <w:szCs w:val="24"/>
        </w:rPr>
        <w:t xml:space="preserve">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24892">
          <w:rPr>
            <w:rFonts w:ascii="Times New Roman" w:hAnsi="Times New Roman"/>
            <w:szCs w:val="24"/>
          </w:rPr>
          <w:t>1 кв. метр</w:t>
        </w:r>
      </w:smartTag>
      <w:r w:rsidRPr="00D24892">
        <w:rPr>
          <w:rFonts w:ascii="Times New Roman" w:hAnsi="Times New Roman"/>
          <w:szCs w:val="24"/>
        </w:rPr>
        <w:t xml:space="preserve"> бази оподаткування</w:t>
      </w:r>
      <w:r w:rsidRPr="00D24892">
        <w:rPr>
          <w:rFonts w:ascii="Times New Roman" w:hAnsi="Times New Roman"/>
          <w:b/>
          <w:bCs/>
          <w:szCs w:val="24"/>
        </w:rPr>
        <w:t>)</w:t>
      </w:r>
    </w:p>
    <w:p w:rsidR="00B03940" w:rsidRPr="00D24892" w:rsidRDefault="00B03940" w:rsidP="00A6556C">
      <w:pPr>
        <w:jc w:val="both"/>
        <w:rPr>
          <w:rFonts w:ascii="Times New Roman" w:hAnsi="Times New Roman"/>
          <w:szCs w:val="24"/>
        </w:rPr>
      </w:pPr>
      <w:r w:rsidRPr="00D24892">
        <w:rPr>
          <w:rFonts w:ascii="Times New Roman" w:hAnsi="Times New Roman"/>
          <w:szCs w:val="24"/>
        </w:rPr>
        <w:t>Ставка податку для об’єктів нежитлової нерухомості, що перебувають у власності фізичних та  юридичних осіб, встановити у розмірах згідно додатку 1 до цього Положення.</w:t>
      </w:r>
    </w:p>
    <w:p w:rsidR="00B03940" w:rsidRPr="00D24892" w:rsidRDefault="00B03940" w:rsidP="00A6556C">
      <w:pPr>
        <w:jc w:val="both"/>
        <w:rPr>
          <w:rFonts w:ascii="Times New Roman" w:hAnsi="Times New Roman"/>
          <w:szCs w:val="24"/>
        </w:rPr>
      </w:pPr>
      <w:r w:rsidRPr="00D24892">
        <w:rPr>
          <w:rFonts w:ascii="Times New Roman" w:hAnsi="Times New Roman"/>
          <w:b/>
          <w:bCs/>
          <w:szCs w:val="24"/>
        </w:rPr>
        <w:t>5. Податковий період:</w:t>
      </w:r>
    </w:p>
    <w:p w:rsidR="00B03940" w:rsidRPr="00D24892" w:rsidRDefault="003C2EBB" w:rsidP="00A6556C">
      <w:pPr>
        <w:jc w:val="both"/>
        <w:rPr>
          <w:rFonts w:ascii="Times New Roman" w:hAnsi="Times New Roman"/>
          <w:szCs w:val="24"/>
        </w:rPr>
      </w:pPr>
      <w:r>
        <w:rPr>
          <w:rFonts w:ascii="Times New Roman" w:hAnsi="Times New Roman"/>
          <w:szCs w:val="24"/>
        </w:rPr>
        <w:t xml:space="preserve">     </w:t>
      </w:r>
      <w:r w:rsidR="00B03940" w:rsidRPr="00D24892">
        <w:rPr>
          <w:rFonts w:ascii="Times New Roman" w:hAnsi="Times New Roman"/>
          <w:szCs w:val="24"/>
        </w:rPr>
        <w:t>Базовий податковий (звітний) період дорівнює календарному року.</w:t>
      </w:r>
    </w:p>
    <w:p w:rsidR="00B03940" w:rsidRPr="00D24892" w:rsidRDefault="00B03940" w:rsidP="00A6556C">
      <w:pPr>
        <w:jc w:val="both"/>
        <w:rPr>
          <w:rFonts w:ascii="Times New Roman" w:hAnsi="Times New Roman"/>
          <w:szCs w:val="24"/>
        </w:rPr>
      </w:pPr>
      <w:r w:rsidRPr="00D24892">
        <w:rPr>
          <w:rFonts w:ascii="Times New Roman" w:hAnsi="Times New Roman"/>
          <w:b/>
          <w:szCs w:val="24"/>
        </w:rPr>
        <w:t>6.</w:t>
      </w:r>
      <w:r w:rsidRPr="00D24892">
        <w:rPr>
          <w:rFonts w:ascii="Times New Roman" w:hAnsi="Times New Roman"/>
          <w:b/>
          <w:bCs/>
          <w:szCs w:val="24"/>
        </w:rPr>
        <w:t xml:space="preserve"> Порядок обчислення суми податку</w:t>
      </w:r>
      <w:r w:rsidRPr="00D24892">
        <w:rPr>
          <w:rFonts w:ascii="Times New Roman" w:hAnsi="Times New Roman"/>
          <w:szCs w:val="24"/>
        </w:rPr>
        <w:t>:</w:t>
      </w:r>
    </w:p>
    <w:p w:rsidR="00B03940" w:rsidRPr="00D24892" w:rsidRDefault="00B03940" w:rsidP="00A6556C">
      <w:pPr>
        <w:ind w:firstLine="450"/>
        <w:jc w:val="both"/>
        <w:textAlignment w:val="baseline"/>
        <w:rPr>
          <w:rFonts w:ascii="Times New Roman" w:hAnsi="Times New Roman"/>
          <w:szCs w:val="24"/>
          <w:bdr w:val="none" w:sz="0" w:space="0" w:color="auto" w:frame="1"/>
        </w:rPr>
      </w:pPr>
      <w:r w:rsidRPr="00D24892">
        <w:rPr>
          <w:rFonts w:ascii="Times New Roman" w:hAnsi="Times New Roman"/>
          <w:szCs w:val="24"/>
          <w:bdr w:val="none" w:sz="0" w:space="0" w:color="auto" w:frame="1"/>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B03940" w:rsidRPr="00700769" w:rsidRDefault="00B03940" w:rsidP="00A6556C">
      <w:pPr>
        <w:ind w:firstLine="450"/>
        <w:jc w:val="both"/>
        <w:textAlignment w:val="baseline"/>
        <w:rPr>
          <w:rFonts w:ascii="Times New Roman" w:hAnsi="Times New Roman"/>
          <w:color w:val="FF0000"/>
          <w:szCs w:val="24"/>
          <w:bdr w:val="none" w:sz="0" w:space="0" w:color="auto" w:frame="1"/>
        </w:rPr>
      </w:pPr>
      <w:bookmarkStart w:id="1" w:name="n11824"/>
      <w:bookmarkEnd w:id="1"/>
      <w:r w:rsidRPr="00D24892">
        <w:rPr>
          <w:rFonts w:ascii="Times New Roman" w:hAnsi="Times New Roman"/>
          <w:szCs w:val="24"/>
          <w:bdr w:val="none" w:sz="0" w:space="0" w:color="auto" w:frame="1"/>
        </w:rPr>
        <w:t xml:space="preserve">а) </w:t>
      </w:r>
      <w:r w:rsidRPr="00700769">
        <w:rPr>
          <w:rFonts w:ascii="Times New Roman" w:hAnsi="Times New Roman"/>
          <w:szCs w:val="24"/>
          <w:bdr w:val="none" w:sz="0" w:space="0" w:color="auto" w:frame="1"/>
        </w:rPr>
        <w:t>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700769">
        <w:rPr>
          <w:rFonts w:ascii="Times New Roman" w:hAnsi="Times New Roman"/>
          <w:szCs w:val="24"/>
        </w:rPr>
        <w:t> </w:t>
      </w:r>
      <w:hyperlink r:id="rId6" w:anchor="n11807" w:history="1">
        <w:r w:rsidRPr="00700769">
          <w:rPr>
            <w:rFonts w:ascii="Times New Roman" w:hAnsi="Times New Roman"/>
            <w:szCs w:val="24"/>
          </w:rPr>
          <w:t>підпунктів "а"</w:t>
        </w:r>
      </w:hyperlink>
      <w:r w:rsidRPr="00700769">
        <w:rPr>
          <w:rFonts w:ascii="Times New Roman" w:hAnsi="Times New Roman"/>
          <w:szCs w:val="24"/>
        </w:rPr>
        <w:t> </w:t>
      </w:r>
      <w:r w:rsidRPr="00700769">
        <w:rPr>
          <w:rFonts w:ascii="Times New Roman" w:hAnsi="Times New Roman"/>
          <w:szCs w:val="24"/>
          <w:bdr w:val="none" w:sz="0" w:space="0" w:color="auto" w:frame="1"/>
        </w:rPr>
        <w:t>або</w:t>
      </w:r>
      <w:r w:rsidRPr="00700769">
        <w:rPr>
          <w:rFonts w:ascii="Times New Roman" w:hAnsi="Times New Roman"/>
          <w:szCs w:val="24"/>
        </w:rPr>
        <w:t> </w:t>
      </w:r>
      <w:hyperlink r:id="rId7" w:anchor="n11808" w:history="1">
        <w:r w:rsidRPr="00700769">
          <w:rPr>
            <w:rFonts w:ascii="Times New Roman" w:hAnsi="Times New Roman"/>
            <w:szCs w:val="24"/>
          </w:rPr>
          <w:t>"б"</w:t>
        </w:r>
      </w:hyperlink>
      <w:r w:rsidRPr="00700769">
        <w:rPr>
          <w:rFonts w:ascii="Times New Roman" w:hAnsi="Times New Roman"/>
          <w:szCs w:val="24"/>
        </w:rPr>
        <w:t> </w:t>
      </w:r>
      <w:r w:rsidR="00700769" w:rsidRPr="00700769">
        <w:rPr>
          <w:rFonts w:ascii="Times New Roman" w:hAnsi="Times New Roman"/>
          <w:szCs w:val="24"/>
          <w:bdr w:val="none" w:sz="0" w:space="0" w:color="auto" w:frame="1"/>
        </w:rPr>
        <w:t xml:space="preserve">підпункту 266.4.1 пункту 266.4 статті 266 </w:t>
      </w:r>
      <w:r w:rsidR="00700769" w:rsidRPr="00700769">
        <w:rPr>
          <w:rFonts w:ascii="Times New Roman" w:hAnsi="Times New Roman"/>
          <w:szCs w:val="24"/>
        </w:rPr>
        <w:t>Податкового кодексу України</w:t>
      </w:r>
      <w:r w:rsidRPr="00700769">
        <w:rPr>
          <w:rFonts w:ascii="Times New Roman" w:hAnsi="Times New Roman"/>
          <w:szCs w:val="24"/>
          <w:bdr w:val="none" w:sz="0" w:space="0" w:color="auto" w:frame="1"/>
        </w:rPr>
        <w:t>, та відповідної ставки податку</w:t>
      </w:r>
      <w:r w:rsidRPr="00700769">
        <w:rPr>
          <w:rFonts w:ascii="Times New Roman" w:hAnsi="Times New Roman"/>
          <w:color w:val="FF0000"/>
          <w:szCs w:val="24"/>
          <w:bdr w:val="none" w:sz="0" w:space="0" w:color="auto" w:frame="1"/>
        </w:rPr>
        <w:t>;</w:t>
      </w:r>
    </w:p>
    <w:p w:rsidR="00B03940" w:rsidRPr="00613A95" w:rsidRDefault="00B03940" w:rsidP="00A6556C">
      <w:pPr>
        <w:ind w:firstLine="450"/>
        <w:jc w:val="both"/>
        <w:textAlignment w:val="baseline"/>
        <w:rPr>
          <w:rFonts w:ascii="Times New Roman" w:hAnsi="Times New Roman"/>
          <w:szCs w:val="24"/>
          <w:bdr w:val="none" w:sz="0" w:space="0" w:color="auto" w:frame="1"/>
        </w:rPr>
      </w:pPr>
      <w:bookmarkStart w:id="2" w:name="n12918"/>
      <w:bookmarkStart w:id="3" w:name="n11825"/>
      <w:bookmarkEnd w:id="2"/>
      <w:bookmarkEnd w:id="3"/>
      <w:r w:rsidRPr="00613A95">
        <w:rPr>
          <w:rFonts w:ascii="Times New Roman" w:hAnsi="Times New Roman"/>
          <w:szCs w:val="24"/>
          <w:bdr w:val="none" w:sz="0" w:space="0" w:color="auto" w:frame="1"/>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613A95">
        <w:rPr>
          <w:rFonts w:ascii="Times New Roman" w:hAnsi="Times New Roman"/>
          <w:szCs w:val="24"/>
        </w:rPr>
        <w:t> </w:t>
      </w:r>
      <w:hyperlink r:id="rId8" w:anchor="n11807" w:history="1">
        <w:r w:rsidRPr="00613A95">
          <w:rPr>
            <w:rFonts w:ascii="Times New Roman" w:hAnsi="Times New Roman"/>
            <w:szCs w:val="24"/>
          </w:rPr>
          <w:t>підпунктів "а"</w:t>
        </w:r>
      </w:hyperlink>
      <w:r w:rsidRPr="00613A95">
        <w:rPr>
          <w:rFonts w:ascii="Times New Roman" w:hAnsi="Times New Roman"/>
          <w:szCs w:val="24"/>
        </w:rPr>
        <w:t> </w:t>
      </w:r>
      <w:r w:rsidRPr="00613A95">
        <w:rPr>
          <w:rFonts w:ascii="Times New Roman" w:hAnsi="Times New Roman"/>
          <w:szCs w:val="24"/>
          <w:bdr w:val="none" w:sz="0" w:space="0" w:color="auto" w:frame="1"/>
        </w:rPr>
        <w:t>або</w:t>
      </w:r>
      <w:r w:rsidRPr="00613A95">
        <w:rPr>
          <w:rFonts w:ascii="Times New Roman" w:hAnsi="Times New Roman"/>
          <w:szCs w:val="24"/>
        </w:rPr>
        <w:t> </w:t>
      </w:r>
      <w:hyperlink r:id="rId9" w:anchor="n11808" w:history="1">
        <w:r w:rsidRPr="00613A95">
          <w:rPr>
            <w:rFonts w:ascii="Times New Roman" w:hAnsi="Times New Roman"/>
            <w:szCs w:val="24"/>
          </w:rPr>
          <w:t>"б"</w:t>
        </w:r>
      </w:hyperlink>
      <w:r w:rsidRPr="00613A95">
        <w:rPr>
          <w:rFonts w:ascii="Times New Roman" w:hAnsi="Times New Roman"/>
          <w:szCs w:val="24"/>
        </w:rPr>
        <w:t> </w:t>
      </w:r>
      <w:r w:rsidR="00700769" w:rsidRPr="00613A95">
        <w:rPr>
          <w:rFonts w:ascii="Times New Roman" w:hAnsi="Times New Roman"/>
          <w:szCs w:val="24"/>
          <w:bdr w:val="none" w:sz="0" w:space="0" w:color="auto" w:frame="1"/>
        </w:rPr>
        <w:t xml:space="preserve">підпункту 266.4.1 пункту 266.4 статті 266 </w:t>
      </w:r>
      <w:r w:rsidR="00700769" w:rsidRPr="00613A95">
        <w:rPr>
          <w:rFonts w:ascii="Times New Roman" w:hAnsi="Times New Roman"/>
          <w:szCs w:val="24"/>
        </w:rPr>
        <w:t>Податкового кодексу України</w:t>
      </w:r>
      <w:r w:rsidRPr="00613A95">
        <w:rPr>
          <w:rFonts w:ascii="Times New Roman" w:hAnsi="Times New Roman"/>
          <w:szCs w:val="24"/>
          <w:bdr w:val="none" w:sz="0" w:space="0" w:color="auto" w:frame="1"/>
        </w:rPr>
        <w:t>, та відповідної ставки податку;</w:t>
      </w:r>
    </w:p>
    <w:p w:rsidR="00B03940" w:rsidRPr="00613A95" w:rsidRDefault="00B03940" w:rsidP="00A6556C">
      <w:pPr>
        <w:ind w:firstLine="450"/>
        <w:jc w:val="both"/>
        <w:textAlignment w:val="baseline"/>
        <w:rPr>
          <w:rFonts w:ascii="Times New Roman" w:hAnsi="Times New Roman"/>
          <w:szCs w:val="24"/>
          <w:bdr w:val="none" w:sz="0" w:space="0" w:color="auto" w:frame="1"/>
        </w:rPr>
      </w:pPr>
      <w:bookmarkStart w:id="4" w:name="n12919"/>
      <w:bookmarkStart w:id="5" w:name="n11826"/>
      <w:bookmarkEnd w:id="4"/>
      <w:bookmarkEnd w:id="5"/>
      <w:r w:rsidRPr="00613A95">
        <w:rPr>
          <w:rFonts w:ascii="Times New Roman" w:hAnsi="Times New Roman"/>
          <w:szCs w:val="24"/>
          <w:bdr w:val="none" w:sz="0" w:space="0" w:color="auto" w:frame="1"/>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613A95">
        <w:rPr>
          <w:rFonts w:ascii="Times New Roman" w:hAnsi="Times New Roman"/>
          <w:szCs w:val="24"/>
        </w:rPr>
        <w:t> </w:t>
      </w:r>
      <w:hyperlink r:id="rId10" w:anchor="n11809" w:history="1">
        <w:r w:rsidRPr="00613A95">
          <w:rPr>
            <w:rFonts w:ascii="Times New Roman" w:hAnsi="Times New Roman"/>
            <w:szCs w:val="24"/>
          </w:rPr>
          <w:t>підпункту "в"</w:t>
        </w:r>
      </w:hyperlink>
      <w:r w:rsidRPr="00613A95">
        <w:rPr>
          <w:rFonts w:ascii="Times New Roman" w:hAnsi="Times New Roman"/>
          <w:szCs w:val="24"/>
        </w:rPr>
        <w:t> </w:t>
      </w:r>
      <w:r w:rsidRPr="00613A95">
        <w:rPr>
          <w:rFonts w:ascii="Times New Roman" w:hAnsi="Times New Roman"/>
          <w:szCs w:val="24"/>
          <w:bdr w:val="none" w:sz="0" w:space="0" w:color="auto" w:frame="1"/>
        </w:rPr>
        <w:t xml:space="preserve"> </w:t>
      </w:r>
      <w:r w:rsidR="00613A95" w:rsidRPr="00613A95">
        <w:rPr>
          <w:rFonts w:ascii="Times New Roman" w:hAnsi="Times New Roman"/>
          <w:szCs w:val="24"/>
          <w:bdr w:val="none" w:sz="0" w:space="0" w:color="auto" w:frame="1"/>
        </w:rPr>
        <w:t xml:space="preserve">підпункту 266.4.1 пункту 266.4 статті 266 </w:t>
      </w:r>
      <w:r w:rsidR="00613A95" w:rsidRPr="00613A95">
        <w:rPr>
          <w:rFonts w:ascii="Times New Roman" w:hAnsi="Times New Roman"/>
          <w:szCs w:val="24"/>
        </w:rPr>
        <w:t>Податкового кодексу України</w:t>
      </w:r>
      <w:r w:rsidRPr="00613A95">
        <w:rPr>
          <w:rFonts w:ascii="Times New Roman" w:hAnsi="Times New Roman"/>
          <w:szCs w:val="24"/>
          <w:bdr w:val="none" w:sz="0" w:space="0" w:color="auto" w:frame="1"/>
        </w:rPr>
        <w:t>, та відповідної ставки податку;</w:t>
      </w:r>
    </w:p>
    <w:p w:rsidR="00B03940" w:rsidRPr="00613A95" w:rsidRDefault="00B03940" w:rsidP="00A6556C">
      <w:pPr>
        <w:ind w:firstLine="450"/>
        <w:jc w:val="both"/>
        <w:textAlignment w:val="baseline"/>
        <w:rPr>
          <w:rFonts w:ascii="Times New Roman" w:hAnsi="Times New Roman"/>
          <w:szCs w:val="24"/>
          <w:bdr w:val="none" w:sz="0" w:space="0" w:color="auto" w:frame="1"/>
        </w:rPr>
      </w:pPr>
      <w:bookmarkStart w:id="6" w:name="n12920"/>
      <w:bookmarkStart w:id="7" w:name="n11827"/>
      <w:bookmarkEnd w:id="6"/>
      <w:bookmarkEnd w:id="7"/>
      <w:r w:rsidRPr="00613A95">
        <w:rPr>
          <w:rFonts w:ascii="Times New Roman" w:hAnsi="Times New Roman"/>
          <w:szCs w:val="24"/>
          <w:bdr w:val="none" w:sz="0" w:space="0" w:color="auto" w:frame="1"/>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B03940" w:rsidRPr="00D24892" w:rsidRDefault="00B03940" w:rsidP="00A6556C">
      <w:pPr>
        <w:ind w:firstLine="450"/>
        <w:jc w:val="both"/>
        <w:textAlignment w:val="baseline"/>
        <w:rPr>
          <w:rFonts w:ascii="Times New Roman" w:hAnsi="Times New Roman"/>
          <w:szCs w:val="24"/>
          <w:bdr w:val="none" w:sz="0" w:space="0" w:color="auto" w:frame="1"/>
        </w:rPr>
      </w:pPr>
      <w:bookmarkStart w:id="8" w:name="n12921"/>
      <w:bookmarkStart w:id="9" w:name="n12923"/>
      <w:bookmarkEnd w:id="8"/>
      <w:bookmarkEnd w:id="9"/>
      <w:r w:rsidRPr="00D24892">
        <w:rPr>
          <w:rFonts w:ascii="Times New Roman" w:hAnsi="Times New Roman"/>
          <w:szCs w:val="24"/>
          <w:bdr w:val="none" w:sz="0" w:space="0" w:color="auto" w:frame="1"/>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B03940" w:rsidRPr="00D24892" w:rsidRDefault="00B03940" w:rsidP="00A6556C">
      <w:pPr>
        <w:ind w:firstLine="450"/>
        <w:jc w:val="both"/>
        <w:textAlignment w:val="baseline"/>
        <w:rPr>
          <w:rFonts w:ascii="Times New Roman" w:hAnsi="Times New Roman"/>
          <w:szCs w:val="24"/>
          <w:bdr w:val="none" w:sz="0" w:space="0" w:color="auto" w:frame="1"/>
        </w:rPr>
      </w:pPr>
      <w:bookmarkStart w:id="10" w:name="n12922"/>
      <w:bookmarkStart w:id="11" w:name="n11828"/>
      <w:bookmarkEnd w:id="10"/>
      <w:bookmarkEnd w:id="11"/>
      <w:r w:rsidRPr="00D24892">
        <w:rPr>
          <w:rFonts w:ascii="Times New Roman" w:hAnsi="Times New Roman"/>
          <w:szCs w:val="24"/>
          <w:bdr w:val="none" w:sz="0" w:space="0" w:color="auto" w:frame="1"/>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B03940" w:rsidRPr="00D24892" w:rsidRDefault="00B03940" w:rsidP="00B03940">
      <w:pPr>
        <w:ind w:firstLine="450"/>
        <w:jc w:val="both"/>
        <w:textAlignment w:val="baseline"/>
        <w:rPr>
          <w:rFonts w:ascii="Times New Roman" w:hAnsi="Times New Roman"/>
          <w:szCs w:val="24"/>
          <w:bdr w:val="none" w:sz="0" w:space="0" w:color="auto" w:frame="1"/>
        </w:rPr>
      </w:pPr>
      <w:bookmarkStart w:id="12" w:name="n11829"/>
      <w:bookmarkEnd w:id="12"/>
      <w:r w:rsidRPr="00D24892">
        <w:rPr>
          <w:rFonts w:ascii="Times New Roman" w:hAnsi="Times New Roman"/>
          <w:szCs w:val="24"/>
          <w:bdr w:val="none" w:sz="0" w:space="0" w:color="auto" w:frame="1"/>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B03940" w:rsidRPr="00D24892" w:rsidRDefault="00B03940" w:rsidP="00B03940">
      <w:pPr>
        <w:ind w:firstLine="450"/>
        <w:jc w:val="both"/>
        <w:textAlignment w:val="baseline"/>
        <w:rPr>
          <w:rFonts w:ascii="Times New Roman" w:hAnsi="Times New Roman"/>
          <w:szCs w:val="24"/>
          <w:bdr w:val="none" w:sz="0" w:space="0" w:color="auto" w:frame="1"/>
        </w:rPr>
      </w:pPr>
      <w:bookmarkStart w:id="13" w:name="n11830"/>
      <w:bookmarkEnd w:id="13"/>
      <w:r w:rsidRPr="00D24892">
        <w:rPr>
          <w:rFonts w:ascii="Times New Roman" w:hAnsi="Times New Roman"/>
          <w:szCs w:val="24"/>
          <w:bdr w:val="none" w:sz="0" w:space="0" w:color="auto" w:frame="1"/>
        </w:rPr>
        <w:t>За новостворений (нововведений) об’єкт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B03940" w:rsidRPr="00D24892" w:rsidRDefault="00B03940" w:rsidP="00B03940">
      <w:pPr>
        <w:jc w:val="both"/>
        <w:rPr>
          <w:rFonts w:ascii="Times New Roman" w:hAnsi="Times New Roman"/>
          <w:szCs w:val="24"/>
        </w:rPr>
      </w:pPr>
      <w:r w:rsidRPr="00D24892">
        <w:rPr>
          <w:rFonts w:ascii="Times New Roman" w:hAnsi="Times New Roman"/>
          <w:szCs w:val="24"/>
        </w:rPr>
        <w:t xml:space="preserve">         </w:t>
      </w:r>
      <w:proofErr w:type="spellStart"/>
      <w:r w:rsidRPr="00D24892">
        <w:rPr>
          <w:rFonts w:ascii="Times New Roman" w:hAnsi="Times New Roman"/>
          <w:szCs w:val="24"/>
        </w:rPr>
        <w:t>Срібнянська</w:t>
      </w:r>
      <w:proofErr w:type="spellEnd"/>
      <w:r w:rsidRPr="00D24892">
        <w:rPr>
          <w:rFonts w:ascii="Times New Roman" w:hAnsi="Times New Roman"/>
          <w:szCs w:val="24"/>
        </w:rPr>
        <w:t xml:space="preserve"> селищна рада в десятиденний строк інформує відповідний контролюючий орган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w:t>
      </w:r>
    </w:p>
    <w:p w:rsidR="00B03940" w:rsidRPr="00D24892" w:rsidRDefault="00B03940" w:rsidP="00B03940">
      <w:pPr>
        <w:ind w:firstLine="450"/>
        <w:jc w:val="both"/>
        <w:textAlignment w:val="baseline"/>
        <w:rPr>
          <w:rFonts w:ascii="Times New Roman" w:hAnsi="Times New Roman"/>
          <w:szCs w:val="24"/>
          <w:bdr w:val="none" w:sz="0" w:space="0" w:color="auto" w:frame="1"/>
        </w:rPr>
      </w:pPr>
      <w:bookmarkStart w:id="14" w:name="n11831"/>
      <w:bookmarkStart w:id="15" w:name="n11832"/>
      <w:bookmarkEnd w:id="14"/>
      <w:bookmarkEnd w:id="15"/>
      <w:r w:rsidRPr="00D24892">
        <w:rPr>
          <w:rFonts w:ascii="Times New Roman" w:hAnsi="Times New Roman"/>
          <w:szCs w:val="24"/>
          <w:bdr w:val="none" w:sz="0" w:space="0" w:color="auto" w:frame="1"/>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B03940" w:rsidRPr="00D24892" w:rsidRDefault="00B03940" w:rsidP="00B03940">
      <w:pPr>
        <w:ind w:firstLine="450"/>
        <w:jc w:val="both"/>
        <w:textAlignment w:val="baseline"/>
        <w:rPr>
          <w:rFonts w:ascii="Times New Roman" w:hAnsi="Times New Roman"/>
          <w:szCs w:val="24"/>
          <w:bdr w:val="none" w:sz="0" w:space="0" w:color="auto" w:frame="1"/>
        </w:rPr>
      </w:pPr>
      <w:bookmarkStart w:id="16" w:name="n11833"/>
      <w:bookmarkEnd w:id="16"/>
      <w:r w:rsidRPr="00D24892">
        <w:rPr>
          <w:rFonts w:ascii="Times New Roman" w:hAnsi="Times New Roman"/>
          <w:szCs w:val="24"/>
          <w:bdr w:val="none" w:sz="0" w:space="0" w:color="auto" w:frame="1"/>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B03940" w:rsidRPr="00D24892" w:rsidRDefault="00B03940" w:rsidP="00B03940">
      <w:pPr>
        <w:ind w:firstLine="450"/>
        <w:jc w:val="both"/>
        <w:textAlignment w:val="baseline"/>
        <w:rPr>
          <w:rFonts w:ascii="Times New Roman" w:hAnsi="Times New Roman"/>
          <w:szCs w:val="24"/>
          <w:bdr w:val="none" w:sz="0" w:space="0" w:color="auto" w:frame="1"/>
        </w:rPr>
      </w:pPr>
      <w:bookmarkStart w:id="17" w:name="n11834"/>
      <w:bookmarkEnd w:id="17"/>
      <w:r w:rsidRPr="00D24892">
        <w:rPr>
          <w:rFonts w:ascii="Times New Roman" w:hAnsi="Times New Roman"/>
          <w:szCs w:val="24"/>
          <w:bdr w:val="none" w:sz="0" w:space="0" w:color="auto" w:frame="1"/>
        </w:rPr>
        <w:t>об’єктів житлової та/або нежитлової нерухомості, в тому числі їх часток, що перебувають у власності платника податку;</w:t>
      </w:r>
    </w:p>
    <w:p w:rsidR="00B03940" w:rsidRPr="00D24892" w:rsidRDefault="00B03940" w:rsidP="00B03940">
      <w:pPr>
        <w:ind w:firstLine="450"/>
        <w:jc w:val="both"/>
        <w:textAlignment w:val="baseline"/>
        <w:rPr>
          <w:rFonts w:ascii="Times New Roman" w:hAnsi="Times New Roman"/>
          <w:szCs w:val="24"/>
          <w:bdr w:val="none" w:sz="0" w:space="0" w:color="auto" w:frame="1"/>
        </w:rPr>
      </w:pPr>
      <w:bookmarkStart w:id="18" w:name="n11835"/>
      <w:bookmarkEnd w:id="18"/>
      <w:r w:rsidRPr="00D24892">
        <w:rPr>
          <w:rFonts w:ascii="Times New Roman" w:hAnsi="Times New Roman"/>
          <w:szCs w:val="24"/>
          <w:bdr w:val="none" w:sz="0" w:space="0" w:color="auto" w:frame="1"/>
        </w:rPr>
        <w:lastRenderedPageBreak/>
        <w:t>розміру загальної площі об’єктів житлової та/або нежитлової нерухомості, що перебувають у власності платника податку;</w:t>
      </w:r>
    </w:p>
    <w:p w:rsidR="00B03940" w:rsidRPr="00D24892" w:rsidRDefault="00B03940" w:rsidP="00B03940">
      <w:pPr>
        <w:ind w:firstLine="450"/>
        <w:jc w:val="both"/>
        <w:textAlignment w:val="baseline"/>
        <w:rPr>
          <w:rFonts w:ascii="Times New Roman" w:hAnsi="Times New Roman"/>
          <w:szCs w:val="24"/>
          <w:bdr w:val="none" w:sz="0" w:space="0" w:color="auto" w:frame="1"/>
        </w:rPr>
      </w:pPr>
      <w:bookmarkStart w:id="19" w:name="n11836"/>
      <w:bookmarkEnd w:id="19"/>
      <w:r w:rsidRPr="00D24892">
        <w:rPr>
          <w:rFonts w:ascii="Times New Roman" w:hAnsi="Times New Roman"/>
          <w:szCs w:val="24"/>
          <w:bdr w:val="none" w:sz="0" w:space="0" w:color="auto" w:frame="1"/>
        </w:rPr>
        <w:t>права на користування пільгою із сплати податку;</w:t>
      </w:r>
    </w:p>
    <w:p w:rsidR="00B03940" w:rsidRPr="00D24892" w:rsidRDefault="00B03940" w:rsidP="00B03940">
      <w:pPr>
        <w:ind w:firstLine="450"/>
        <w:jc w:val="both"/>
        <w:textAlignment w:val="baseline"/>
        <w:rPr>
          <w:rFonts w:ascii="Times New Roman" w:hAnsi="Times New Roman"/>
          <w:szCs w:val="24"/>
          <w:bdr w:val="none" w:sz="0" w:space="0" w:color="auto" w:frame="1"/>
        </w:rPr>
      </w:pPr>
      <w:bookmarkStart w:id="20" w:name="n11837"/>
      <w:bookmarkEnd w:id="20"/>
      <w:r w:rsidRPr="00D24892">
        <w:rPr>
          <w:rFonts w:ascii="Times New Roman" w:hAnsi="Times New Roman"/>
          <w:szCs w:val="24"/>
          <w:bdr w:val="none" w:sz="0" w:space="0" w:color="auto" w:frame="1"/>
        </w:rPr>
        <w:t>розміру ставки податку;</w:t>
      </w:r>
    </w:p>
    <w:p w:rsidR="00B03940" w:rsidRPr="00D24892" w:rsidRDefault="00B03940" w:rsidP="00B03940">
      <w:pPr>
        <w:ind w:firstLine="450"/>
        <w:jc w:val="both"/>
        <w:textAlignment w:val="baseline"/>
        <w:rPr>
          <w:rFonts w:ascii="Times New Roman" w:hAnsi="Times New Roman"/>
          <w:szCs w:val="24"/>
          <w:bdr w:val="none" w:sz="0" w:space="0" w:color="auto" w:frame="1"/>
        </w:rPr>
      </w:pPr>
      <w:bookmarkStart w:id="21" w:name="n11838"/>
      <w:bookmarkEnd w:id="21"/>
      <w:r w:rsidRPr="00D24892">
        <w:rPr>
          <w:rFonts w:ascii="Times New Roman" w:hAnsi="Times New Roman"/>
          <w:szCs w:val="24"/>
          <w:bdr w:val="none" w:sz="0" w:space="0" w:color="auto" w:frame="1"/>
        </w:rPr>
        <w:t>нарахованої суми податку.</w:t>
      </w:r>
    </w:p>
    <w:p w:rsidR="00B03940" w:rsidRPr="00D24892" w:rsidRDefault="00B03940" w:rsidP="00B03940">
      <w:pPr>
        <w:ind w:firstLine="450"/>
        <w:jc w:val="both"/>
        <w:textAlignment w:val="baseline"/>
        <w:rPr>
          <w:rFonts w:ascii="Times New Roman" w:hAnsi="Times New Roman"/>
          <w:szCs w:val="24"/>
          <w:bdr w:val="none" w:sz="0" w:space="0" w:color="auto" w:frame="1"/>
        </w:rPr>
      </w:pPr>
      <w:bookmarkStart w:id="22" w:name="n11839"/>
      <w:bookmarkEnd w:id="22"/>
      <w:r w:rsidRPr="00D24892">
        <w:rPr>
          <w:rFonts w:ascii="Times New Roman" w:hAnsi="Times New Roman"/>
          <w:szCs w:val="24"/>
          <w:bdr w:val="none" w:sz="0" w:space="0" w:color="auto" w:frame="1"/>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B03940" w:rsidRPr="00D24892" w:rsidRDefault="00B03940" w:rsidP="00B03940">
      <w:pPr>
        <w:ind w:firstLine="450"/>
        <w:jc w:val="both"/>
        <w:textAlignment w:val="baseline"/>
        <w:rPr>
          <w:rFonts w:ascii="Times New Roman" w:hAnsi="Times New Roman"/>
          <w:szCs w:val="24"/>
          <w:bdr w:val="none" w:sz="0" w:space="0" w:color="auto" w:frame="1"/>
        </w:rPr>
      </w:pPr>
      <w:bookmarkStart w:id="23" w:name="n11840"/>
      <w:bookmarkEnd w:id="23"/>
      <w:r w:rsidRPr="00D24892">
        <w:rPr>
          <w:rFonts w:ascii="Times New Roman" w:hAnsi="Times New Roman"/>
          <w:szCs w:val="24"/>
          <w:bdr w:val="none" w:sz="0" w:space="0" w:color="auto" w:frame="1"/>
        </w:rPr>
        <w:t>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w:t>
      </w:r>
      <w:r w:rsidRPr="00D24892">
        <w:rPr>
          <w:rFonts w:ascii="Times New Roman" w:hAnsi="Times New Roman"/>
          <w:szCs w:val="24"/>
        </w:rPr>
        <w:t> </w:t>
      </w:r>
      <w:hyperlink r:id="rId11" w:anchor="n9" w:tgtFrame="_blank" w:history="1">
        <w:r w:rsidRPr="00D24892">
          <w:rPr>
            <w:rFonts w:ascii="Times New Roman" w:hAnsi="Times New Roman"/>
            <w:szCs w:val="24"/>
          </w:rPr>
          <w:t>порядку</w:t>
        </w:r>
      </w:hyperlink>
      <w:r w:rsidRPr="00D24892">
        <w:rPr>
          <w:rFonts w:ascii="Times New Roman" w:hAnsi="Times New Roman"/>
          <w:szCs w:val="24"/>
          <w:bdr w:val="none" w:sz="0" w:space="0" w:color="auto" w:frame="1"/>
        </w:rPr>
        <w:t>, визначеному Кабінетом Міністрів України.</w:t>
      </w:r>
    </w:p>
    <w:p w:rsidR="00B03940" w:rsidRPr="00D24892" w:rsidRDefault="00B03940" w:rsidP="00B03940">
      <w:pPr>
        <w:ind w:firstLine="450"/>
        <w:jc w:val="both"/>
        <w:textAlignment w:val="baseline"/>
        <w:rPr>
          <w:rFonts w:ascii="Times New Roman" w:hAnsi="Times New Roman"/>
          <w:szCs w:val="24"/>
          <w:bdr w:val="none" w:sz="0" w:space="0" w:color="auto" w:frame="1"/>
        </w:rPr>
      </w:pPr>
      <w:bookmarkStart w:id="24" w:name="n14373"/>
      <w:bookmarkStart w:id="25" w:name="n11841"/>
      <w:bookmarkEnd w:id="24"/>
      <w:bookmarkEnd w:id="25"/>
      <w:r w:rsidRPr="00D24892">
        <w:rPr>
          <w:rFonts w:ascii="Times New Roman" w:hAnsi="Times New Roman"/>
          <w:szCs w:val="24"/>
          <w:bdr w:val="none" w:sz="0" w:space="0" w:color="auto" w:frame="1"/>
        </w:rPr>
        <w:t>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D24892">
        <w:rPr>
          <w:rFonts w:ascii="Times New Roman" w:hAnsi="Times New Roman"/>
          <w:szCs w:val="24"/>
        </w:rPr>
        <w:t> </w:t>
      </w:r>
      <w:hyperlink r:id="rId12" w:anchor="n15" w:tgtFrame="_blank" w:history="1">
        <w:r w:rsidRPr="00D24892">
          <w:rPr>
            <w:rFonts w:ascii="Times New Roman" w:hAnsi="Times New Roman"/>
            <w:szCs w:val="24"/>
          </w:rPr>
          <w:t>формою</w:t>
        </w:r>
      </w:hyperlink>
      <w:r w:rsidRPr="00D24892">
        <w:rPr>
          <w:rFonts w:ascii="Times New Roman" w:hAnsi="Times New Roman"/>
          <w:szCs w:val="24"/>
          <w:bdr w:val="none" w:sz="0" w:space="0" w:color="auto" w:frame="1"/>
        </w:rPr>
        <w:t>, встановленою у порядку, передбаченому</w:t>
      </w:r>
      <w:r w:rsidRPr="00D24892">
        <w:rPr>
          <w:rFonts w:ascii="Times New Roman" w:hAnsi="Times New Roman"/>
          <w:szCs w:val="24"/>
        </w:rPr>
        <w:t> </w:t>
      </w:r>
      <w:hyperlink r:id="rId13" w:anchor="n1144" w:history="1">
        <w:r w:rsidRPr="00D24892">
          <w:rPr>
            <w:rFonts w:ascii="Times New Roman" w:hAnsi="Times New Roman"/>
            <w:szCs w:val="24"/>
          </w:rPr>
          <w:t>статтею 46</w:t>
        </w:r>
      </w:hyperlink>
      <w:r w:rsidRPr="00D24892">
        <w:rPr>
          <w:rFonts w:ascii="Times New Roman" w:hAnsi="Times New Roman"/>
          <w:szCs w:val="24"/>
        </w:rPr>
        <w:t xml:space="preserve"> Податкового кодексу України</w:t>
      </w:r>
      <w:r w:rsidRPr="00D24892">
        <w:rPr>
          <w:rFonts w:ascii="Times New Roman" w:hAnsi="Times New Roman"/>
          <w:szCs w:val="24"/>
          <w:bdr w:val="none" w:sz="0" w:space="0" w:color="auto" w:frame="1"/>
        </w:rPr>
        <w:t>, з розбивкою річної суми рівними частками поквартально.</w:t>
      </w:r>
    </w:p>
    <w:p w:rsidR="00B03940" w:rsidRPr="00D24892" w:rsidRDefault="00B03940" w:rsidP="00B03940">
      <w:pPr>
        <w:ind w:firstLine="450"/>
        <w:jc w:val="both"/>
        <w:textAlignment w:val="baseline"/>
        <w:rPr>
          <w:rFonts w:ascii="Times New Roman" w:hAnsi="Times New Roman"/>
          <w:szCs w:val="24"/>
          <w:bdr w:val="none" w:sz="0" w:space="0" w:color="auto" w:frame="1"/>
        </w:rPr>
      </w:pPr>
      <w:bookmarkStart w:id="26" w:name="n11842"/>
      <w:bookmarkEnd w:id="26"/>
      <w:r w:rsidRPr="00D24892">
        <w:rPr>
          <w:rFonts w:ascii="Times New Roman" w:hAnsi="Times New Roman"/>
          <w:szCs w:val="24"/>
          <w:bdr w:val="none" w:sz="0" w:space="0" w:color="auto" w:frame="1"/>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B03940" w:rsidRPr="00D24892" w:rsidRDefault="00B03940" w:rsidP="00B03940">
      <w:pPr>
        <w:ind w:firstLine="450"/>
        <w:jc w:val="both"/>
        <w:textAlignment w:val="baseline"/>
        <w:rPr>
          <w:rFonts w:ascii="Times New Roman" w:hAnsi="Times New Roman"/>
          <w:szCs w:val="24"/>
          <w:bdr w:val="none" w:sz="0" w:space="0" w:color="auto" w:frame="1"/>
        </w:rPr>
      </w:pPr>
      <w:bookmarkStart w:id="27" w:name="n11843"/>
      <w:bookmarkEnd w:id="27"/>
      <w:r w:rsidRPr="00D24892">
        <w:rPr>
          <w:rFonts w:ascii="Times New Roman" w:hAnsi="Times New Roman"/>
          <w:szCs w:val="24"/>
          <w:bdr w:val="none" w:sz="0" w:space="0" w:color="auto" w:frame="1"/>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B03940" w:rsidRPr="00D24892" w:rsidRDefault="00B03940" w:rsidP="00B03940">
      <w:pPr>
        <w:jc w:val="both"/>
        <w:rPr>
          <w:rFonts w:ascii="Times New Roman" w:hAnsi="Times New Roman"/>
          <w:szCs w:val="24"/>
          <w:bdr w:val="none" w:sz="0" w:space="0" w:color="auto" w:frame="1"/>
        </w:rPr>
      </w:pPr>
      <w:bookmarkStart w:id="28" w:name="n14374"/>
      <w:bookmarkStart w:id="29" w:name="n11845"/>
      <w:bookmarkEnd w:id="28"/>
      <w:bookmarkEnd w:id="29"/>
      <w:r w:rsidRPr="00D24892">
        <w:rPr>
          <w:rFonts w:ascii="Times New Roman" w:hAnsi="Times New Roman"/>
          <w:szCs w:val="24"/>
          <w:bdr w:val="none" w:sz="0" w:space="0" w:color="auto" w:frame="1"/>
        </w:rPr>
        <w:t>Контролюючий орган надсилає податкове повідомлення-рішення новому власнику після отримання інформації про перехід права власності.</w:t>
      </w:r>
    </w:p>
    <w:p w:rsidR="00B03940" w:rsidRPr="00D24892" w:rsidRDefault="00B03940" w:rsidP="00B03940">
      <w:pPr>
        <w:jc w:val="both"/>
        <w:rPr>
          <w:rFonts w:ascii="Times New Roman" w:hAnsi="Times New Roman"/>
          <w:szCs w:val="24"/>
        </w:rPr>
      </w:pPr>
      <w:r w:rsidRPr="00D24892">
        <w:rPr>
          <w:rFonts w:ascii="Times New Roman" w:hAnsi="Times New Roman"/>
          <w:szCs w:val="24"/>
        </w:rPr>
        <w:t>7</w:t>
      </w:r>
      <w:r w:rsidRPr="00D24892">
        <w:rPr>
          <w:rFonts w:ascii="Times New Roman" w:hAnsi="Times New Roman"/>
          <w:b/>
          <w:bCs/>
          <w:szCs w:val="24"/>
        </w:rPr>
        <w:t>. Порядок сплати податку:</w:t>
      </w:r>
    </w:p>
    <w:p w:rsidR="00B03940" w:rsidRPr="00D24892" w:rsidRDefault="003C2EBB" w:rsidP="00B03940">
      <w:pPr>
        <w:jc w:val="both"/>
        <w:rPr>
          <w:rFonts w:ascii="Times New Roman" w:hAnsi="Times New Roman"/>
          <w:szCs w:val="24"/>
        </w:rPr>
      </w:pPr>
      <w:r>
        <w:rPr>
          <w:rFonts w:ascii="Times New Roman" w:hAnsi="Times New Roman"/>
          <w:szCs w:val="24"/>
        </w:rPr>
        <w:t xml:space="preserve">    </w:t>
      </w:r>
      <w:r w:rsidR="00B03940" w:rsidRPr="00D24892">
        <w:rPr>
          <w:rFonts w:ascii="Times New Roman" w:hAnsi="Times New Roman"/>
          <w:szCs w:val="24"/>
        </w:rPr>
        <w:t xml:space="preserve">Податок сплачується за місцем розташування об’єкта/об'єктів оподаткування і зараховується до бюджету </w:t>
      </w:r>
      <w:proofErr w:type="spellStart"/>
      <w:r w:rsidR="00B03940" w:rsidRPr="00D24892">
        <w:rPr>
          <w:rFonts w:ascii="Times New Roman" w:hAnsi="Times New Roman"/>
          <w:szCs w:val="24"/>
        </w:rPr>
        <w:t>Срібнянської</w:t>
      </w:r>
      <w:proofErr w:type="spellEnd"/>
      <w:r w:rsidR="00B03940" w:rsidRPr="00D24892">
        <w:rPr>
          <w:rFonts w:ascii="Times New Roman" w:hAnsi="Times New Roman"/>
          <w:szCs w:val="24"/>
        </w:rPr>
        <w:t xml:space="preserve"> селищної ради згідно з положеннями Бюджетного кодексу України.</w:t>
      </w:r>
    </w:p>
    <w:p w:rsidR="00B03940" w:rsidRPr="00D24892" w:rsidRDefault="00B03940" w:rsidP="00B03940">
      <w:pPr>
        <w:jc w:val="both"/>
        <w:rPr>
          <w:rFonts w:ascii="Times New Roman" w:hAnsi="Times New Roman"/>
          <w:szCs w:val="24"/>
        </w:rPr>
      </w:pPr>
      <w:r w:rsidRPr="00D24892">
        <w:rPr>
          <w:rFonts w:ascii="Times New Roman" w:hAnsi="Times New Roman"/>
          <w:b/>
          <w:bCs/>
          <w:szCs w:val="24"/>
        </w:rPr>
        <w:t>8. Строки сплати податку:</w:t>
      </w:r>
    </w:p>
    <w:p w:rsidR="00B03940" w:rsidRPr="00D24892" w:rsidRDefault="003C2EBB" w:rsidP="00B03940">
      <w:pPr>
        <w:jc w:val="both"/>
        <w:rPr>
          <w:rFonts w:ascii="Times New Roman" w:hAnsi="Times New Roman"/>
          <w:szCs w:val="24"/>
        </w:rPr>
      </w:pPr>
      <w:r>
        <w:rPr>
          <w:rFonts w:ascii="Times New Roman" w:hAnsi="Times New Roman"/>
          <w:szCs w:val="24"/>
        </w:rPr>
        <w:t xml:space="preserve">     </w:t>
      </w:r>
      <w:r w:rsidR="00B03940" w:rsidRPr="00D24892">
        <w:rPr>
          <w:rFonts w:ascii="Times New Roman" w:hAnsi="Times New Roman"/>
          <w:szCs w:val="24"/>
        </w:rPr>
        <w:t>Податкове зобов’язання за звітний рік з податку сплачується:</w:t>
      </w:r>
    </w:p>
    <w:p w:rsidR="00B03940" w:rsidRPr="00D24892" w:rsidRDefault="00B03940" w:rsidP="00B03940">
      <w:pPr>
        <w:jc w:val="both"/>
        <w:rPr>
          <w:rFonts w:ascii="Times New Roman" w:hAnsi="Times New Roman"/>
          <w:szCs w:val="24"/>
        </w:rPr>
      </w:pPr>
      <w:r w:rsidRPr="00D24892">
        <w:rPr>
          <w:rFonts w:ascii="Times New Roman" w:hAnsi="Times New Roman"/>
          <w:szCs w:val="24"/>
        </w:rPr>
        <w:t>а) фізичними особами – протягом 60 днів з дня вручення податкового повідомлення – рішення;</w:t>
      </w:r>
    </w:p>
    <w:p w:rsidR="00B03940" w:rsidRDefault="00B03940" w:rsidP="00B03940">
      <w:pPr>
        <w:jc w:val="both"/>
        <w:rPr>
          <w:rFonts w:ascii="Times New Roman" w:hAnsi="Times New Roman"/>
          <w:szCs w:val="24"/>
        </w:rPr>
      </w:pPr>
      <w:r w:rsidRPr="00D24892">
        <w:rPr>
          <w:rFonts w:ascii="Times New Roman" w:hAnsi="Times New Roman"/>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3C2EBB" w:rsidRPr="009C5657" w:rsidRDefault="003C2EBB" w:rsidP="003C2EBB">
      <w:pPr>
        <w:rPr>
          <w:rFonts w:ascii="Times New Roman" w:hAnsi="Times New Roman"/>
          <w:b/>
          <w:szCs w:val="24"/>
        </w:rPr>
      </w:pPr>
      <w:r w:rsidRPr="009C5657">
        <w:rPr>
          <w:rFonts w:ascii="Times New Roman" w:hAnsi="Times New Roman"/>
          <w:b/>
          <w:szCs w:val="24"/>
        </w:rPr>
        <w:t>9.</w:t>
      </w:r>
      <w:r w:rsidRPr="009C5657">
        <w:rPr>
          <w:rFonts w:ascii="Times New Roman" w:hAnsi="Times New Roman"/>
          <w:b/>
          <w:bCs/>
          <w:szCs w:val="24"/>
        </w:rPr>
        <w:t xml:space="preserve"> Строки  та порядок подання звітності про  обчислення і сплату податку</w:t>
      </w:r>
    </w:p>
    <w:p w:rsidR="003C2EBB" w:rsidRPr="009C5657" w:rsidRDefault="003C2EBB" w:rsidP="003C2EBB">
      <w:pPr>
        <w:ind w:firstLine="450"/>
        <w:jc w:val="both"/>
        <w:textAlignment w:val="baseline"/>
        <w:rPr>
          <w:rFonts w:ascii="Times New Roman" w:hAnsi="Times New Roman"/>
          <w:szCs w:val="24"/>
          <w:bdr w:val="none" w:sz="0" w:space="0" w:color="auto" w:frame="1"/>
        </w:rPr>
      </w:pPr>
      <w:r w:rsidRPr="009C5657">
        <w:rPr>
          <w:rFonts w:ascii="Times New Roman" w:hAnsi="Times New Roman"/>
          <w:szCs w:val="24"/>
          <w:bdr w:val="none" w:sz="0" w:space="0" w:color="auto" w:frame="1"/>
        </w:rPr>
        <w:t>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9C5657">
        <w:rPr>
          <w:rFonts w:ascii="Times New Roman" w:hAnsi="Times New Roman"/>
          <w:szCs w:val="24"/>
        </w:rPr>
        <w:t> </w:t>
      </w:r>
      <w:hyperlink r:id="rId14" w:anchor="n15" w:tgtFrame="_blank" w:history="1">
        <w:r w:rsidRPr="009C5657">
          <w:rPr>
            <w:rFonts w:ascii="Times New Roman" w:hAnsi="Times New Roman"/>
            <w:szCs w:val="24"/>
          </w:rPr>
          <w:t>формою</w:t>
        </w:r>
      </w:hyperlink>
      <w:r w:rsidRPr="009C5657">
        <w:rPr>
          <w:rFonts w:ascii="Times New Roman" w:hAnsi="Times New Roman"/>
          <w:szCs w:val="24"/>
          <w:bdr w:val="none" w:sz="0" w:space="0" w:color="auto" w:frame="1"/>
        </w:rPr>
        <w:t>, встановленою у порядку, передбаченому</w:t>
      </w:r>
      <w:r w:rsidRPr="009C5657">
        <w:rPr>
          <w:rFonts w:ascii="Times New Roman" w:hAnsi="Times New Roman"/>
          <w:szCs w:val="24"/>
        </w:rPr>
        <w:t> </w:t>
      </w:r>
      <w:hyperlink r:id="rId15" w:anchor="n1144" w:history="1">
        <w:r w:rsidRPr="009C5657">
          <w:rPr>
            <w:rFonts w:ascii="Times New Roman" w:hAnsi="Times New Roman"/>
            <w:szCs w:val="24"/>
          </w:rPr>
          <w:t>статтею 46</w:t>
        </w:r>
      </w:hyperlink>
      <w:r w:rsidRPr="009C5657">
        <w:rPr>
          <w:rFonts w:ascii="Times New Roman" w:hAnsi="Times New Roman"/>
          <w:szCs w:val="24"/>
        </w:rPr>
        <w:t xml:space="preserve"> Податкового кодексу України</w:t>
      </w:r>
      <w:r w:rsidRPr="009C5657">
        <w:rPr>
          <w:rFonts w:ascii="Times New Roman" w:hAnsi="Times New Roman"/>
          <w:szCs w:val="24"/>
          <w:bdr w:val="none" w:sz="0" w:space="0" w:color="auto" w:frame="1"/>
        </w:rPr>
        <w:t>, з розбивкою річної суми рівними частками поквартально.</w:t>
      </w:r>
    </w:p>
    <w:p w:rsidR="003C2EBB" w:rsidRPr="009C5657" w:rsidRDefault="003C2EBB" w:rsidP="003C2EBB">
      <w:pPr>
        <w:ind w:firstLine="450"/>
        <w:jc w:val="both"/>
        <w:textAlignment w:val="baseline"/>
        <w:rPr>
          <w:rFonts w:ascii="Times New Roman" w:hAnsi="Times New Roman"/>
          <w:szCs w:val="24"/>
          <w:bdr w:val="none" w:sz="0" w:space="0" w:color="auto" w:frame="1"/>
        </w:rPr>
      </w:pPr>
      <w:r w:rsidRPr="009C5657">
        <w:rPr>
          <w:rFonts w:ascii="Times New Roman" w:hAnsi="Times New Roman"/>
          <w:szCs w:val="24"/>
          <w:bdr w:val="none" w:sz="0" w:space="0" w:color="auto" w:frame="1"/>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3C2EBB" w:rsidRDefault="003C2EBB" w:rsidP="00B03940">
      <w:pPr>
        <w:jc w:val="both"/>
        <w:rPr>
          <w:rFonts w:ascii="Times New Roman" w:hAnsi="Times New Roman"/>
          <w:szCs w:val="24"/>
        </w:rPr>
      </w:pPr>
    </w:p>
    <w:p w:rsidR="003C2EBB" w:rsidRDefault="003C2EBB" w:rsidP="00B03940">
      <w:pPr>
        <w:jc w:val="both"/>
        <w:rPr>
          <w:rFonts w:ascii="Times New Roman" w:hAnsi="Times New Roman"/>
          <w:szCs w:val="24"/>
        </w:rPr>
      </w:pPr>
    </w:p>
    <w:p w:rsidR="003C2EBB" w:rsidRPr="00D24892" w:rsidRDefault="003C2EBB" w:rsidP="00B03940">
      <w:pPr>
        <w:jc w:val="both"/>
        <w:rPr>
          <w:rFonts w:ascii="Times New Roman" w:hAnsi="Times New Roman"/>
          <w:szCs w:val="24"/>
        </w:rPr>
      </w:pPr>
    </w:p>
    <w:p w:rsidR="00B03940" w:rsidRPr="00D24892" w:rsidRDefault="003C2EBB" w:rsidP="00B03940">
      <w:pPr>
        <w:jc w:val="both"/>
        <w:rPr>
          <w:rFonts w:ascii="Times New Roman" w:hAnsi="Times New Roman"/>
          <w:szCs w:val="24"/>
        </w:rPr>
      </w:pPr>
      <w:r>
        <w:rPr>
          <w:rFonts w:ascii="Times New Roman" w:hAnsi="Times New Roman"/>
          <w:b/>
          <w:bCs/>
          <w:szCs w:val="24"/>
        </w:rPr>
        <w:t>10</w:t>
      </w:r>
      <w:r w:rsidR="00B03940" w:rsidRPr="00D24892">
        <w:rPr>
          <w:rFonts w:ascii="Times New Roman" w:hAnsi="Times New Roman"/>
          <w:b/>
          <w:bCs/>
          <w:szCs w:val="24"/>
        </w:rPr>
        <w:t>. Пільги зі сплати податку:</w:t>
      </w:r>
    </w:p>
    <w:p w:rsidR="00B03940" w:rsidRPr="00D24892" w:rsidRDefault="003C2EBB" w:rsidP="00B03940">
      <w:pPr>
        <w:jc w:val="both"/>
        <w:rPr>
          <w:rFonts w:ascii="Times New Roman" w:hAnsi="Times New Roman"/>
          <w:szCs w:val="24"/>
        </w:rPr>
      </w:pPr>
      <w:r>
        <w:rPr>
          <w:rFonts w:ascii="Times New Roman" w:hAnsi="Times New Roman"/>
          <w:szCs w:val="24"/>
        </w:rPr>
        <w:t xml:space="preserve">    </w:t>
      </w:r>
      <w:r w:rsidR="00B03940" w:rsidRPr="00D24892">
        <w:rPr>
          <w:rFonts w:ascii="Times New Roman" w:hAnsi="Times New Roman"/>
          <w:szCs w:val="24"/>
        </w:rPr>
        <w:t>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B03940" w:rsidRPr="00D24892" w:rsidRDefault="00B03940" w:rsidP="00B03940">
      <w:pPr>
        <w:jc w:val="both"/>
        <w:rPr>
          <w:rFonts w:ascii="Times New Roman" w:hAnsi="Times New Roman"/>
          <w:szCs w:val="24"/>
        </w:rPr>
      </w:pPr>
      <w:r w:rsidRPr="00D24892">
        <w:rPr>
          <w:rFonts w:ascii="Times New Roman" w:hAnsi="Times New Roman"/>
          <w:szCs w:val="24"/>
        </w:rPr>
        <w:t>а) для квартири/ квартир незалежно від їх кількості – на  </w:t>
      </w:r>
      <w:r w:rsidRPr="00D24892">
        <w:rPr>
          <w:rFonts w:ascii="Times New Roman" w:hAnsi="Times New Roman"/>
          <w:b/>
          <w:bCs/>
          <w:szCs w:val="24"/>
        </w:rPr>
        <w:t>60</w:t>
      </w:r>
      <w:r w:rsidRPr="00D24892">
        <w:rPr>
          <w:rFonts w:ascii="Times New Roman" w:hAnsi="Times New Roman"/>
          <w:szCs w:val="24"/>
        </w:rPr>
        <w:t xml:space="preserve"> </w:t>
      </w:r>
      <w:r w:rsidRPr="00D24892">
        <w:rPr>
          <w:rFonts w:ascii="Times New Roman" w:hAnsi="Times New Roman"/>
          <w:b/>
          <w:bCs/>
          <w:szCs w:val="24"/>
        </w:rPr>
        <w:t>кв. метрів;</w:t>
      </w:r>
    </w:p>
    <w:p w:rsidR="00B03940" w:rsidRPr="00D24892" w:rsidRDefault="00B03940" w:rsidP="00B03940">
      <w:pPr>
        <w:jc w:val="both"/>
        <w:rPr>
          <w:rFonts w:ascii="Times New Roman" w:hAnsi="Times New Roman"/>
          <w:szCs w:val="24"/>
        </w:rPr>
      </w:pPr>
      <w:r w:rsidRPr="00D24892">
        <w:rPr>
          <w:rFonts w:ascii="Times New Roman" w:hAnsi="Times New Roman"/>
          <w:szCs w:val="24"/>
        </w:rPr>
        <w:t xml:space="preserve">б) для житлового будинку/будинків незалежно від їх кількості – </w:t>
      </w:r>
      <w:r w:rsidRPr="00D24892">
        <w:rPr>
          <w:rFonts w:ascii="Times New Roman" w:hAnsi="Times New Roman"/>
          <w:b/>
          <w:bCs/>
          <w:szCs w:val="24"/>
        </w:rPr>
        <w:t>на  120 кв. метрів;</w:t>
      </w:r>
    </w:p>
    <w:p w:rsidR="00B03940" w:rsidRPr="00D24892" w:rsidRDefault="00B03940" w:rsidP="00B03940">
      <w:pPr>
        <w:jc w:val="both"/>
        <w:rPr>
          <w:rFonts w:ascii="Times New Roman" w:hAnsi="Times New Roman"/>
          <w:szCs w:val="24"/>
        </w:rPr>
      </w:pPr>
      <w:r w:rsidRPr="00D24892">
        <w:rPr>
          <w:rFonts w:ascii="Times New Roman" w:hAnsi="Times New Roman"/>
          <w:szCs w:val="24"/>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w:t>
      </w:r>
      <w:r w:rsidRPr="00D24892">
        <w:rPr>
          <w:rFonts w:ascii="Times New Roman" w:hAnsi="Times New Roman"/>
          <w:b/>
          <w:bCs/>
          <w:szCs w:val="24"/>
        </w:rPr>
        <w:t>на  180 кв. метрів.</w:t>
      </w:r>
    </w:p>
    <w:p w:rsidR="00B03940" w:rsidRPr="00D24892" w:rsidRDefault="00B03940" w:rsidP="00B03940">
      <w:pPr>
        <w:ind w:firstLine="450"/>
        <w:jc w:val="both"/>
        <w:textAlignment w:val="baseline"/>
        <w:rPr>
          <w:rFonts w:ascii="Times New Roman" w:hAnsi="Times New Roman"/>
          <w:szCs w:val="24"/>
          <w:bdr w:val="none" w:sz="0" w:space="0" w:color="auto" w:frame="1"/>
        </w:rPr>
      </w:pPr>
      <w:proofErr w:type="spellStart"/>
      <w:r w:rsidRPr="00D24892">
        <w:rPr>
          <w:rFonts w:ascii="Times New Roman" w:hAnsi="Times New Roman"/>
          <w:szCs w:val="24"/>
        </w:rPr>
        <w:t>Срібнянська</w:t>
      </w:r>
      <w:proofErr w:type="spellEnd"/>
      <w:r w:rsidRPr="00D24892">
        <w:rPr>
          <w:rFonts w:ascii="Times New Roman" w:hAnsi="Times New Roman"/>
          <w:szCs w:val="24"/>
        </w:rPr>
        <w:t xml:space="preserve"> селищна рада  </w:t>
      </w:r>
      <w:r w:rsidRPr="00D24892">
        <w:rPr>
          <w:rFonts w:ascii="Times New Roman" w:hAnsi="Times New Roman"/>
          <w:szCs w:val="24"/>
          <w:bdr w:val="none" w:sz="0" w:space="0" w:color="auto" w:frame="1"/>
        </w:rPr>
        <w:t>встановлює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B03940" w:rsidRPr="00D24892" w:rsidRDefault="00B03940" w:rsidP="00B03940">
      <w:pPr>
        <w:ind w:firstLine="450"/>
        <w:jc w:val="both"/>
        <w:textAlignment w:val="baseline"/>
        <w:rPr>
          <w:rFonts w:ascii="Times New Roman" w:hAnsi="Times New Roman"/>
          <w:szCs w:val="24"/>
          <w:bdr w:val="none" w:sz="0" w:space="0" w:color="auto" w:frame="1"/>
        </w:rPr>
      </w:pPr>
      <w:r w:rsidRPr="00D24892">
        <w:rPr>
          <w:rFonts w:ascii="Times New Roman" w:hAnsi="Times New Roman"/>
          <w:szCs w:val="24"/>
          <w:bdr w:val="none" w:sz="0" w:space="0" w:color="auto" w:frame="1"/>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B03940" w:rsidRPr="00D24892" w:rsidRDefault="00B03940" w:rsidP="00B03940">
      <w:pPr>
        <w:ind w:firstLine="450"/>
        <w:jc w:val="both"/>
        <w:textAlignment w:val="baseline"/>
        <w:rPr>
          <w:rFonts w:ascii="Times New Roman" w:hAnsi="Times New Roman"/>
          <w:szCs w:val="24"/>
          <w:bdr w:val="none" w:sz="0" w:space="0" w:color="auto" w:frame="1"/>
        </w:rPr>
      </w:pPr>
      <w:r w:rsidRPr="00D24892">
        <w:rPr>
          <w:rFonts w:ascii="Times New Roman" w:hAnsi="Times New Roman"/>
          <w:szCs w:val="24"/>
          <w:bdr w:val="none" w:sz="0" w:space="0" w:color="auto" w:frame="1"/>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B03940" w:rsidRPr="00D24892" w:rsidRDefault="00B03940" w:rsidP="00B03940">
      <w:pPr>
        <w:ind w:firstLine="450"/>
        <w:jc w:val="both"/>
        <w:textAlignment w:val="baseline"/>
        <w:rPr>
          <w:rFonts w:ascii="Times New Roman" w:hAnsi="Times New Roman"/>
          <w:szCs w:val="24"/>
          <w:bdr w:val="none" w:sz="0" w:space="0" w:color="auto" w:frame="1"/>
        </w:rPr>
      </w:pPr>
      <w:bookmarkStart w:id="30" w:name="n11817"/>
      <w:bookmarkEnd w:id="30"/>
      <w:proofErr w:type="spellStart"/>
      <w:r w:rsidRPr="00D24892">
        <w:rPr>
          <w:rFonts w:ascii="Times New Roman" w:hAnsi="Times New Roman"/>
          <w:szCs w:val="24"/>
        </w:rPr>
        <w:t>Срібнянська</w:t>
      </w:r>
      <w:proofErr w:type="spellEnd"/>
      <w:r w:rsidRPr="00D24892">
        <w:rPr>
          <w:rFonts w:ascii="Times New Roman" w:hAnsi="Times New Roman"/>
          <w:szCs w:val="24"/>
        </w:rPr>
        <w:t xml:space="preserve"> селищна рада  </w:t>
      </w:r>
      <w:r w:rsidRPr="00D24892">
        <w:rPr>
          <w:rFonts w:ascii="Times New Roman" w:hAnsi="Times New Roman"/>
          <w:szCs w:val="24"/>
          <w:bdr w:val="none" w:sz="0" w:space="0" w:color="auto" w:frame="1"/>
        </w:rPr>
        <w:t>до 25 грудня року, що передує звітному, подає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B03940" w:rsidRPr="00D24892" w:rsidRDefault="00B03940" w:rsidP="00B03940">
      <w:pPr>
        <w:ind w:firstLine="450"/>
        <w:jc w:val="both"/>
        <w:textAlignment w:val="baseline"/>
        <w:rPr>
          <w:rFonts w:ascii="Times New Roman" w:hAnsi="Times New Roman"/>
          <w:szCs w:val="24"/>
          <w:bdr w:val="none" w:sz="0" w:space="0" w:color="auto" w:frame="1"/>
        </w:rPr>
      </w:pPr>
      <w:bookmarkStart w:id="31" w:name="n14367"/>
      <w:bookmarkStart w:id="32" w:name="n14370"/>
      <w:bookmarkEnd w:id="31"/>
      <w:bookmarkEnd w:id="32"/>
      <w:r w:rsidRPr="00D24892">
        <w:rPr>
          <w:rFonts w:ascii="Times New Roman" w:hAnsi="Times New Roman"/>
          <w:szCs w:val="24"/>
          <w:bdr w:val="none" w:sz="0" w:space="0" w:color="auto" w:frame="1"/>
        </w:rPr>
        <w:t>Пільги з податку, передбачені</w:t>
      </w:r>
      <w:r w:rsidRPr="00D24892">
        <w:rPr>
          <w:rFonts w:ascii="Times New Roman" w:hAnsi="Times New Roman"/>
          <w:szCs w:val="24"/>
        </w:rPr>
        <w:t>  </w:t>
      </w:r>
      <w:r w:rsidRPr="00D24892">
        <w:rPr>
          <w:rFonts w:ascii="Times New Roman" w:hAnsi="Times New Roman"/>
          <w:szCs w:val="24"/>
          <w:bdr w:val="none" w:sz="0" w:space="0" w:color="auto" w:frame="1"/>
        </w:rPr>
        <w:t>цим пунктом, для фізичних осіб не застосовуються до:</w:t>
      </w:r>
    </w:p>
    <w:p w:rsidR="00B03940" w:rsidRPr="00D24892" w:rsidRDefault="00B03940" w:rsidP="00B03940">
      <w:pPr>
        <w:ind w:firstLine="450"/>
        <w:jc w:val="both"/>
        <w:textAlignment w:val="baseline"/>
        <w:rPr>
          <w:rFonts w:ascii="Times New Roman" w:hAnsi="Times New Roman"/>
          <w:szCs w:val="24"/>
          <w:bdr w:val="none" w:sz="0" w:space="0" w:color="auto" w:frame="1"/>
        </w:rPr>
      </w:pPr>
      <w:bookmarkStart w:id="33" w:name="n14371"/>
      <w:bookmarkEnd w:id="33"/>
      <w:r w:rsidRPr="00D24892">
        <w:rPr>
          <w:rFonts w:ascii="Times New Roman" w:hAnsi="Times New Roman"/>
          <w:szCs w:val="24"/>
          <w:bdr w:val="none" w:sz="0" w:space="0" w:color="auto" w:frame="1"/>
        </w:rPr>
        <w:t>об’єкта/об’єктів оподаткування, якщо площа такого/таких об’єкта/об’єктів перевищує п’ятикратний розмір неоподатковуваної площі;</w:t>
      </w:r>
    </w:p>
    <w:p w:rsidR="00B03940" w:rsidRPr="00D24892" w:rsidRDefault="00B03940" w:rsidP="00B03940">
      <w:pPr>
        <w:ind w:firstLine="450"/>
        <w:jc w:val="both"/>
        <w:textAlignment w:val="baseline"/>
        <w:rPr>
          <w:rFonts w:ascii="Times New Roman" w:hAnsi="Times New Roman"/>
          <w:szCs w:val="24"/>
          <w:bdr w:val="none" w:sz="0" w:space="0" w:color="auto" w:frame="1"/>
        </w:rPr>
      </w:pPr>
      <w:bookmarkStart w:id="34" w:name="n14372"/>
      <w:bookmarkEnd w:id="34"/>
      <w:r w:rsidRPr="00D24892">
        <w:rPr>
          <w:rFonts w:ascii="Times New Roman" w:hAnsi="Times New Roman"/>
          <w:szCs w:val="24"/>
          <w:bdr w:val="none" w:sz="0" w:space="0" w:color="auto" w:frame="1"/>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B03940" w:rsidRPr="00D24892" w:rsidRDefault="00B03940" w:rsidP="00B03940">
      <w:pPr>
        <w:jc w:val="both"/>
        <w:rPr>
          <w:rFonts w:ascii="Times New Roman" w:hAnsi="Times New Roman"/>
          <w:szCs w:val="24"/>
        </w:rPr>
      </w:pPr>
    </w:p>
    <w:p w:rsidR="006521CC" w:rsidRPr="00A6556C" w:rsidRDefault="006521CC" w:rsidP="006521CC">
      <w:pPr>
        <w:pStyle w:val="a4"/>
        <w:shd w:val="clear" w:color="auto" w:fill="auto"/>
        <w:spacing w:after="298" w:line="312" w:lineRule="exact"/>
        <w:ind w:left="40" w:right="80"/>
        <w:jc w:val="center"/>
        <w:rPr>
          <w:b/>
        </w:rPr>
      </w:pPr>
      <w:r w:rsidRPr="00A6556C">
        <w:rPr>
          <w:b/>
        </w:rPr>
        <w:t>Секретар рад</w:t>
      </w:r>
      <w:r w:rsidR="00A6556C">
        <w:rPr>
          <w:b/>
        </w:rPr>
        <w:t xml:space="preserve">и </w:t>
      </w:r>
      <w:r w:rsidR="00A6556C">
        <w:rPr>
          <w:b/>
        </w:rPr>
        <w:tab/>
      </w:r>
      <w:r w:rsidR="00A6556C">
        <w:rPr>
          <w:b/>
        </w:rPr>
        <w:tab/>
      </w:r>
      <w:r w:rsidR="00A6556C">
        <w:rPr>
          <w:b/>
        </w:rPr>
        <w:tab/>
      </w:r>
      <w:r w:rsidR="00A6556C">
        <w:rPr>
          <w:b/>
        </w:rPr>
        <w:tab/>
      </w:r>
      <w:r w:rsidR="00A6556C">
        <w:rPr>
          <w:b/>
        </w:rPr>
        <w:tab/>
      </w:r>
      <w:r w:rsidR="00A6556C">
        <w:rPr>
          <w:b/>
        </w:rPr>
        <w:tab/>
      </w:r>
      <w:r w:rsidR="00A6556C">
        <w:rPr>
          <w:b/>
        </w:rPr>
        <w:tab/>
      </w:r>
      <w:r w:rsidR="00A6556C">
        <w:rPr>
          <w:b/>
        </w:rPr>
        <w:tab/>
      </w:r>
      <w:r w:rsidRPr="00A6556C">
        <w:rPr>
          <w:b/>
        </w:rPr>
        <w:t>І.МАРТИНЮК</w:t>
      </w:r>
    </w:p>
    <w:p w:rsidR="00B03940" w:rsidRPr="00D24892" w:rsidRDefault="00B03940" w:rsidP="00B03940">
      <w:pPr>
        <w:jc w:val="both"/>
        <w:rPr>
          <w:rFonts w:ascii="Times New Roman" w:hAnsi="Times New Roman"/>
          <w:szCs w:val="24"/>
        </w:rPr>
      </w:pPr>
    </w:p>
    <w:p w:rsidR="00B03940" w:rsidRPr="00D24892" w:rsidRDefault="00B03940" w:rsidP="00B03940">
      <w:r w:rsidRPr="00D24892">
        <w:br w:type="page"/>
      </w:r>
    </w:p>
    <w:tbl>
      <w:tblPr>
        <w:tblW w:w="0" w:type="auto"/>
        <w:tblLook w:val="01E0" w:firstRow="1" w:lastRow="1" w:firstColumn="1" w:lastColumn="1" w:noHBand="0" w:noVBand="0"/>
      </w:tblPr>
      <w:tblGrid>
        <w:gridCol w:w="3654"/>
        <w:gridCol w:w="6201"/>
      </w:tblGrid>
      <w:tr w:rsidR="00B03940" w:rsidRPr="00D24892" w:rsidTr="00BB1EAD">
        <w:tc>
          <w:tcPr>
            <w:tcW w:w="3888" w:type="dxa"/>
          </w:tcPr>
          <w:p w:rsidR="00B03940" w:rsidRPr="00D24892" w:rsidRDefault="00B03940" w:rsidP="00BB1EAD">
            <w:pPr>
              <w:jc w:val="both"/>
              <w:rPr>
                <w:rFonts w:ascii="Times New Roman" w:hAnsi="Times New Roman"/>
                <w:szCs w:val="24"/>
              </w:rPr>
            </w:pPr>
          </w:p>
        </w:tc>
        <w:tc>
          <w:tcPr>
            <w:tcW w:w="6533" w:type="dxa"/>
          </w:tcPr>
          <w:p w:rsidR="00B03940" w:rsidRPr="00D24892" w:rsidRDefault="00B03940" w:rsidP="00BB1EAD">
            <w:pPr>
              <w:jc w:val="both"/>
              <w:rPr>
                <w:rFonts w:ascii="Times New Roman" w:hAnsi="Times New Roman"/>
                <w:szCs w:val="24"/>
              </w:rPr>
            </w:pPr>
            <w:r w:rsidRPr="00D24892">
              <w:rPr>
                <w:rFonts w:ascii="Times New Roman" w:hAnsi="Times New Roman"/>
                <w:szCs w:val="24"/>
              </w:rPr>
              <w:t>Додаток  1</w:t>
            </w:r>
          </w:p>
          <w:p w:rsidR="00B03940" w:rsidRPr="00D24892" w:rsidRDefault="00B03940" w:rsidP="00BB1EAD">
            <w:pPr>
              <w:jc w:val="both"/>
              <w:rPr>
                <w:rFonts w:ascii="Times New Roman" w:hAnsi="Times New Roman"/>
                <w:szCs w:val="24"/>
              </w:rPr>
            </w:pPr>
            <w:r w:rsidRPr="00D24892">
              <w:rPr>
                <w:rFonts w:ascii="Times New Roman" w:hAnsi="Times New Roman"/>
                <w:sz w:val="20"/>
              </w:rPr>
              <w:t xml:space="preserve"> до Положення про порядок сплати податку на нерухоме майно, відмінне від земельної ділянки на  території  </w:t>
            </w:r>
            <w:proofErr w:type="spellStart"/>
            <w:r w:rsidRPr="00D24892">
              <w:rPr>
                <w:rFonts w:ascii="Times New Roman" w:hAnsi="Times New Roman"/>
                <w:sz w:val="20"/>
              </w:rPr>
              <w:t>Срібнянської</w:t>
            </w:r>
            <w:proofErr w:type="spellEnd"/>
            <w:r w:rsidRPr="00D24892">
              <w:rPr>
                <w:rFonts w:ascii="Times New Roman" w:hAnsi="Times New Roman"/>
                <w:sz w:val="20"/>
              </w:rPr>
              <w:t xml:space="preserve"> селищної ради </w:t>
            </w:r>
          </w:p>
        </w:tc>
      </w:tr>
    </w:tbl>
    <w:p w:rsidR="00B03940" w:rsidRPr="00D24892" w:rsidRDefault="00B03940" w:rsidP="00B03940">
      <w:pPr>
        <w:jc w:val="center"/>
        <w:rPr>
          <w:rFonts w:ascii="Times New Roman" w:hAnsi="Times New Roman"/>
          <w:b/>
          <w:bCs/>
          <w:szCs w:val="24"/>
        </w:rPr>
      </w:pPr>
      <w:r w:rsidRPr="00D24892">
        <w:rPr>
          <w:rFonts w:ascii="Times New Roman" w:hAnsi="Times New Roman"/>
          <w:b/>
          <w:bCs/>
          <w:szCs w:val="24"/>
        </w:rPr>
        <w:t>Ставки податку на нерухоме майно, відмінне від земельної ділянки, для об'єктів нежитлової нерухомості, що перебувають у власності фізичних та юридичних осіб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2362"/>
        <w:gridCol w:w="2597"/>
      </w:tblGrid>
      <w:tr w:rsidR="00B03940" w:rsidRPr="00D24892" w:rsidTr="00BB1EAD">
        <w:tc>
          <w:tcPr>
            <w:tcW w:w="5210" w:type="dxa"/>
            <w:vMerge w:val="restart"/>
          </w:tcPr>
          <w:p w:rsidR="00B03940" w:rsidRPr="00D24892" w:rsidRDefault="00B03940" w:rsidP="00BB1EAD">
            <w:pPr>
              <w:jc w:val="center"/>
              <w:rPr>
                <w:rFonts w:ascii="Times New Roman" w:hAnsi="Times New Roman"/>
                <w:b/>
                <w:bCs/>
                <w:szCs w:val="24"/>
              </w:rPr>
            </w:pPr>
            <w:r w:rsidRPr="00D24892">
              <w:rPr>
                <w:rFonts w:ascii="Times New Roman" w:hAnsi="Times New Roman"/>
                <w:szCs w:val="24"/>
              </w:rPr>
              <w:t>Типи нежитлової нерухомості</w:t>
            </w:r>
          </w:p>
        </w:tc>
        <w:tc>
          <w:tcPr>
            <w:tcW w:w="5211" w:type="dxa"/>
            <w:gridSpan w:val="2"/>
          </w:tcPr>
          <w:p w:rsidR="00B03940" w:rsidRPr="00D24892" w:rsidRDefault="00B03940" w:rsidP="00A27369">
            <w:pPr>
              <w:jc w:val="center"/>
              <w:rPr>
                <w:rFonts w:ascii="Times New Roman" w:hAnsi="Times New Roman"/>
                <w:b/>
                <w:bCs/>
                <w:szCs w:val="24"/>
              </w:rPr>
            </w:pPr>
            <w:r w:rsidRPr="00D24892">
              <w:rPr>
                <w:rFonts w:ascii="Times New Roman" w:hAnsi="Times New Roman"/>
                <w:szCs w:val="24"/>
              </w:rPr>
              <w:t>Ставка податку на 20</w:t>
            </w:r>
            <w:r w:rsidR="00E340B8">
              <w:rPr>
                <w:rFonts w:ascii="Times New Roman" w:hAnsi="Times New Roman"/>
                <w:szCs w:val="24"/>
              </w:rPr>
              <w:t>21</w:t>
            </w:r>
            <w:r w:rsidRPr="00D24892">
              <w:rPr>
                <w:rFonts w:ascii="Times New Roman" w:hAnsi="Times New Roman"/>
                <w:szCs w:val="24"/>
              </w:rPr>
              <w:t xml:space="preserve"> рік у відсотках від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24892">
                <w:rPr>
                  <w:rFonts w:ascii="Times New Roman" w:hAnsi="Times New Roman"/>
                  <w:szCs w:val="24"/>
                </w:rPr>
                <w:t>1 кв. метр</w:t>
              </w:r>
            </w:smartTag>
          </w:p>
        </w:tc>
      </w:tr>
      <w:tr w:rsidR="00B03940" w:rsidRPr="00D24892" w:rsidTr="00BB1EAD">
        <w:tc>
          <w:tcPr>
            <w:tcW w:w="5210" w:type="dxa"/>
            <w:vMerge/>
          </w:tcPr>
          <w:p w:rsidR="00B03940" w:rsidRPr="00D24892" w:rsidRDefault="00B03940" w:rsidP="00BB1EAD">
            <w:pPr>
              <w:jc w:val="center"/>
              <w:rPr>
                <w:rFonts w:ascii="Times New Roman" w:hAnsi="Times New Roman"/>
                <w:szCs w:val="24"/>
              </w:rPr>
            </w:pPr>
          </w:p>
        </w:tc>
        <w:tc>
          <w:tcPr>
            <w:tcW w:w="2459" w:type="dxa"/>
          </w:tcPr>
          <w:p w:rsidR="00B03940" w:rsidRPr="00D24892" w:rsidRDefault="00B03940" w:rsidP="00BB1EAD">
            <w:pPr>
              <w:jc w:val="center"/>
              <w:rPr>
                <w:rFonts w:ascii="Times New Roman" w:hAnsi="Times New Roman"/>
                <w:szCs w:val="24"/>
              </w:rPr>
            </w:pPr>
            <w:r w:rsidRPr="00D24892">
              <w:rPr>
                <w:rFonts w:ascii="Times New Roman" w:hAnsi="Times New Roman"/>
                <w:szCs w:val="24"/>
              </w:rPr>
              <w:t>для юридичних осіб та фізичних осіб підприємців</w:t>
            </w:r>
          </w:p>
        </w:tc>
        <w:tc>
          <w:tcPr>
            <w:tcW w:w="2752" w:type="dxa"/>
          </w:tcPr>
          <w:p w:rsidR="00B03940" w:rsidRPr="00D24892" w:rsidRDefault="00B03940" w:rsidP="00BB1EAD">
            <w:pPr>
              <w:jc w:val="center"/>
              <w:rPr>
                <w:rFonts w:ascii="Times New Roman" w:hAnsi="Times New Roman"/>
                <w:szCs w:val="24"/>
              </w:rPr>
            </w:pPr>
            <w:r w:rsidRPr="00D24892">
              <w:rPr>
                <w:rFonts w:ascii="Times New Roman" w:hAnsi="Times New Roman"/>
                <w:szCs w:val="24"/>
              </w:rPr>
              <w:t>для фізичних осіб – громадян</w:t>
            </w:r>
          </w:p>
        </w:tc>
      </w:tr>
      <w:tr w:rsidR="00B03940" w:rsidRPr="00D24892" w:rsidTr="00BB1EAD">
        <w:tc>
          <w:tcPr>
            <w:tcW w:w="5210" w:type="dxa"/>
          </w:tcPr>
          <w:p w:rsidR="00B03940" w:rsidRPr="00D24892" w:rsidRDefault="00B03940" w:rsidP="00BB1EAD">
            <w:pPr>
              <w:jc w:val="both"/>
              <w:rPr>
                <w:rFonts w:ascii="Times New Roman" w:hAnsi="Times New Roman"/>
              </w:rPr>
            </w:pPr>
            <w:r w:rsidRPr="00D24892">
              <w:rPr>
                <w:rFonts w:ascii="Times New Roman" w:hAnsi="Times New Roman"/>
                <w:b/>
              </w:rPr>
              <w:t xml:space="preserve">будівлі готельні </w:t>
            </w:r>
            <w:r w:rsidRPr="00D24892">
              <w:rPr>
                <w:rFonts w:ascii="Times New Roman" w:hAnsi="Times New Roman"/>
              </w:rPr>
              <w:t>- готелі, мотелі, кемпінги, пансіонати, ресторани та бари, туристичні бази, гірські притулки, табори для відпочинку, будинки відпочинку;</w:t>
            </w:r>
          </w:p>
        </w:tc>
        <w:tc>
          <w:tcPr>
            <w:tcW w:w="2459" w:type="dxa"/>
          </w:tcPr>
          <w:p w:rsidR="00B03940" w:rsidRPr="00D24892" w:rsidRDefault="00B03940" w:rsidP="00BB1EAD">
            <w:pPr>
              <w:jc w:val="center"/>
              <w:rPr>
                <w:rFonts w:ascii="Times New Roman" w:hAnsi="Times New Roman"/>
                <w:b/>
                <w:bCs/>
                <w:szCs w:val="24"/>
              </w:rPr>
            </w:pPr>
            <w:r w:rsidRPr="00D24892">
              <w:rPr>
                <w:rFonts w:ascii="Times New Roman" w:hAnsi="Times New Roman"/>
                <w:b/>
                <w:bCs/>
                <w:szCs w:val="24"/>
              </w:rPr>
              <w:t>0,1</w:t>
            </w:r>
          </w:p>
        </w:tc>
        <w:tc>
          <w:tcPr>
            <w:tcW w:w="2752" w:type="dxa"/>
          </w:tcPr>
          <w:p w:rsidR="00B03940" w:rsidRPr="00D24892" w:rsidRDefault="00B03940" w:rsidP="00BB1EAD">
            <w:pPr>
              <w:jc w:val="center"/>
              <w:rPr>
                <w:rFonts w:ascii="Times New Roman" w:hAnsi="Times New Roman"/>
                <w:b/>
                <w:bCs/>
                <w:szCs w:val="24"/>
              </w:rPr>
            </w:pPr>
            <w:r w:rsidRPr="00D24892">
              <w:rPr>
                <w:rFonts w:ascii="Times New Roman" w:hAnsi="Times New Roman"/>
                <w:b/>
                <w:bCs/>
                <w:szCs w:val="24"/>
              </w:rPr>
              <w:t>-</w:t>
            </w:r>
          </w:p>
        </w:tc>
      </w:tr>
      <w:tr w:rsidR="00B03940" w:rsidRPr="00D24892" w:rsidTr="00BB1EAD">
        <w:tc>
          <w:tcPr>
            <w:tcW w:w="5210" w:type="dxa"/>
          </w:tcPr>
          <w:p w:rsidR="00B03940" w:rsidRPr="00D24892" w:rsidRDefault="00B03940" w:rsidP="00BB1EAD">
            <w:pPr>
              <w:jc w:val="both"/>
              <w:rPr>
                <w:rFonts w:ascii="Times New Roman" w:hAnsi="Times New Roman"/>
              </w:rPr>
            </w:pPr>
            <w:r w:rsidRPr="00D24892">
              <w:rPr>
                <w:rFonts w:ascii="Times New Roman" w:hAnsi="Times New Roman"/>
                <w:b/>
              </w:rPr>
              <w:t>будівлі офісні</w:t>
            </w:r>
            <w:r w:rsidRPr="00D24892">
              <w:rPr>
                <w:rFonts w:ascii="Times New Roman" w:hAnsi="Times New Roman"/>
              </w:rPr>
              <w:t xml:space="preserve"> — будівлі фінансового обслуговування, адміністративно-побутові будівлі, будівлі для конторських та адміністративних цілей;</w:t>
            </w:r>
          </w:p>
        </w:tc>
        <w:tc>
          <w:tcPr>
            <w:tcW w:w="2459" w:type="dxa"/>
          </w:tcPr>
          <w:p w:rsidR="00B03940" w:rsidRPr="00D24892" w:rsidRDefault="00B03940" w:rsidP="00BB1EAD">
            <w:pPr>
              <w:jc w:val="center"/>
              <w:rPr>
                <w:rFonts w:ascii="Times New Roman" w:hAnsi="Times New Roman"/>
                <w:b/>
                <w:bCs/>
                <w:szCs w:val="24"/>
              </w:rPr>
            </w:pPr>
            <w:r w:rsidRPr="00D24892">
              <w:rPr>
                <w:rFonts w:ascii="Times New Roman" w:hAnsi="Times New Roman"/>
                <w:b/>
                <w:bCs/>
                <w:szCs w:val="24"/>
              </w:rPr>
              <w:t>0,1</w:t>
            </w:r>
          </w:p>
        </w:tc>
        <w:tc>
          <w:tcPr>
            <w:tcW w:w="2752" w:type="dxa"/>
          </w:tcPr>
          <w:p w:rsidR="00B03940" w:rsidRPr="00D24892" w:rsidRDefault="00B03940" w:rsidP="00BB1EAD">
            <w:pPr>
              <w:jc w:val="center"/>
              <w:rPr>
                <w:rFonts w:ascii="Times New Roman" w:hAnsi="Times New Roman"/>
                <w:b/>
                <w:bCs/>
                <w:szCs w:val="24"/>
              </w:rPr>
            </w:pPr>
            <w:r w:rsidRPr="00D24892">
              <w:rPr>
                <w:rFonts w:ascii="Times New Roman" w:hAnsi="Times New Roman"/>
                <w:b/>
                <w:bCs/>
                <w:szCs w:val="24"/>
              </w:rPr>
              <w:t>-</w:t>
            </w:r>
          </w:p>
        </w:tc>
      </w:tr>
      <w:tr w:rsidR="00B03940" w:rsidRPr="00D24892" w:rsidTr="00BB1EAD">
        <w:tc>
          <w:tcPr>
            <w:tcW w:w="5210" w:type="dxa"/>
          </w:tcPr>
          <w:p w:rsidR="00B03940" w:rsidRPr="00D24892" w:rsidRDefault="00B03940" w:rsidP="00BB1EAD">
            <w:pPr>
              <w:jc w:val="both"/>
              <w:rPr>
                <w:rFonts w:ascii="Times New Roman" w:hAnsi="Times New Roman"/>
              </w:rPr>
            </w:pPr>
            <w:r w:rsidRPr="00D24892">
              <w:rPr>
                <w:rFonts w:ascii="Times New Roman" w:hAnsi="Times New Roman"/>
                <w:b/>
              </w:rPr>
              <w:t>будівлі торговельні</w:t>
            </w:r>
            <w:r w:rsidRPr="00D24892">
              <w:rPr>
                <w:rFonts w:ascii="Times New Roman" w:hAnsi="Times New Roman"/>
              </w:rPr>
              <w:t xml:space="preserve">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tc>
        <w:tc>
          <w:tcPr>
            <w:tcW w:w="2459" w:type="dxa"/>
          </w:tcPr>
          <w:p w:rsidR="00B03940" w:rsidRPr="00D24892" w:rsidRDefault="00B03940" w:rsidP="00BB1EAD">
            <w:pPr>
              <w:jc w:val="center"/>
              <w:rPr>
                <w:rFonts w:ascii="Times New Roman" w:hAnsi="Times New Roman"/>
                <w:b/>
                <w:bCs/>
                <w:szCs w:val="24"/>
              </w:rPr>
            </w:pPr>
            <w:r w:rsidRPr="00D24892">
              <w:rPr>
                <w:rFonts w:ascii="Times New Roman" w:hAnsi="Times New Roman"/>
                <w:b/>
                <w:bCs/>
                <w:szCs w:val="24"/>
              </w:rPr>
              <w:t>0,1</w:t>
            </w:r>
          </w:p>
        </w:tc>
        <w:tc>
          <w:tcPr>
            <w:tcW w:w="2752" w:type="dxa"/>
          </w:tcPr>
          <w:p w:rsidR="00B03940" w:rsidRPr="00D24892" w:rsidRDefault="00B03940" w:rsidP="00BB1EAD">
            <w:pPr>
              <w:jc w:val="center"/>
              <w:rPr>
                <w:rFonts w:ascii="Times New Roman" w:hAnsi="Times New Roman"/>
                <w:b/>
                <w:bCs/>
                <w:szCs w:val="24"/>
              </w:rPr>
            </w:pPr>
            <w:r w:rsidRPr="00D24892">
              <w:rPr>
                <w:rFonts w:ascii="Times New Roman" w:hAnsi="Times New Roman"/>
                <w:b/>
                <w:bCs/>
                <w:szCs w:val="24"/>
              </w:rPr>
              <w:t>-</w:t>
            </w:r>
          </w:p>
        </w:tc>
      </w:tr>
      <w:tr w:rsidR="00B03940" w:rsidRPr="00D24892" w:rsidTr="00BB1EAD">
        <w:tc>
          <w:tcPr>
            <w:tcW w:w="5210" w:type="dxa"/>
          </w:tcPr>
          <w:p w:rsidR="00B03940" w:rsidRPr="00D24892" w:rsidRDefault="00B03940" w:rsidP="00BB1EAD">
            <w:pPr>
              <w:jc w:val="both"/>
              <w:rPr>
                <w:rFonts w:ascii="Times New Roman" w:hAnsi="Times New Roman"/>
              </w:rPr>
            </w:pPr>
            <w:r w:rsidRPr="00D24892">
              <w:rPr>
                <w:rFonts w:ascii="Times New Roman" w:hAnsi="Times New Roman"/>
                <w:b/>
              </w:rPr>
              <w:t>гаражі</w:t>
            </w:r>
            <w:r w:rsidRPr="00D24892">
              <w:rPr>
                <w:rFonts w:ascii="Times New Roman" w:hAnsi="Times New Roman"/>
              </w:rPr>
              <w:t xml:space="preserve"> - гаражі (надземні й підземні) та криті автомобільні стоянки;</w:t>
            </w:r>
          </w:p>
        </w:tc>
        <w:tc>
          <w:tcPr>
            <w:tcW w:w="2459" w:type="dxa"/>
          </w:tcPr>
          <w:p w:rsidR="00B03940" w:rsidRPr="00D24892" w:rsidRDefault="00B03940" w:rsidP="00BB1EAD">
            <w:pPr>
              <w:jc w:val="center"/>
              <w:rPr>
                <w:rFonts w:ascii="Times New Roman" w:hAnsi="Times New Roman"/>
                <w:b/>
                <w:bCs/>
                <w:szCs w:val="24"/>
              </w:rPr>
            </w:pPr>
            <w:r w:rsidRPr="00D24892">
              <w:rPr>
                <w:rFonts w:ascii="Times New Roman" w:hAnsi="Times New Roman"/>
                <w:b/>
                <w:bCs/>
                <w:szCs w:val="24"/>
              </w:rPr>
              <w:t>0,1</w:t>
            </w:r>
          </w:p>
        </w:tc>
        <w:tc>
          <w:tcPr>
            <w:tcW w:w="2752" w:type="dxa"/>
          </w:tcPr>
          <w:p w:rsidR="00B03940" w:rsidRPr="00D24892" w:rsidRDefault="000A621A" w:rsidP="00BB1EAD">
            <w:pPr>
              <w:jc w:val="center"/>
              <w:rPr>
                <w:rFonts w:ascii="Times New Roman" w:hAnsi="Times New Roman"/>
                <w:b/>
                <w:bCs/>
                <w:szCs w:val="24"/>
                <w:lang w:val="en-US"/>
              </w:rPr>
            </w:pPr>
            <w:r>
              <w:rPr>
                <w:rFonts w:ascii="Times New Roman" w:hAnsi="Times New Roman"/>
                <w:b/>
                <w:bCs/>
                <w:szCs w:val="24"/>
                <w:lang w:val="en-US"/>
              </w:rPr>
              <w:t>0</w:t>
            </w:r>
            <w:r>
              <w:rPr>
                <w:rFonts w:ascii="Times New Roman" w:hAnsi="Times New Roman"/>
                <w:b/>
                <w:bCs/>
                <w:szCs w:val="24"/>
              </w:rPr>
              <w:t>,</w:t>
            </w:r>
            <w:r w:rsidR="00B03940" w:rsidRPr="00D24892">
              <w:rPr>
                <w:rFonts w:ascii="Times New Roman" w:hAnsi="Times New Roman"/>
                <w:b/>
                <w:bCs/>
                <w:szCs w:val="24"/>
                <w:lang w:val="en-US"/>
              </w:rPr>
              <w:t>01</w:t>
            </w:r>
          </w:p>
        </w:tc>
      </w:tr>
      <w:tr w:rsidR="00B03940" w:rsidRPr="00D24892" w:rsidTr="00BB1EAD">
        <w:tc>
          <w:tcPr>
            <w:tcW w:w="5210" w:type="dxa"/>
          </w:tcPr>
          <w:p w:rsidR="00B03940" w:rsidRPr="00D24892" w:rsidRDefault="00B03940" w:rsidP="00BB1EAD">
            <w:pPr>
              <w:jc w:val="both"/>
              <w:rPr>
                <w:rFonts w:ascii="Times New Roman" w:hAnsi="Times New Roman"/>
              </w:rPr>
            </w:pPr>
            <w:r w:rsidRPr="00D24892">
              <w:rPr>
                <w:rFonts w:ascii="Times New Roman" w:hAnsi="Times New Roman"/>
                <w:b/>
              </w:rPr>
              <w:t>будівлі промислові та склади;</w:t>
            </w:r>
          </w:p>
        </w:tc>
        <w:tc>
          <w:tcPr>
            <w:tcW w:w="2459" w:type="dxa"/>
          </w:tcPr>
          <w:p w:rsidR="00B03940" w:rsidRPr="00D24892" w:rsidRDefault="00B03940" w:rsidP="00BB1EAD">
            <w:pPr>
              <w:jc w:val="center"/>
              <w:rPr>
                <w:rFonts w:ascii="Times New Roman" w:hAnsi="Times New Roman"/>
                <w:b/>
                <w:bCs/>
                <w:szCs w:val="24"/>
              </w:rPr>
            </w:pPr>
            <w:r w:rsidRPr="00D24892">
              <w:rPr>
                <w:rFonts w:ascii="Times New Roman" w:hAnsi="Times New Roman"/>
                <w:b/>
                <w:bCs/>
                <w:szCs w:val="24"/>
              </w:rPr>
              <w:t>0,1</w:t>
            </w:r>
          </w:p>
        </w:tc>
        <w:tc>
          <w:tcPr>
            <w:tcW w:w="2752" w:type="dxa"/>
          </w:tcPr>
          <w:p w:rsidR="00B03940" w:rsidRPr="00D24892" w:rsidRDefault="00B03940" w:rsidP="00BB1EAD">
            <w:pPr>
              <w:jc w:val="center"/>
              <w:rPr>
                <w:rFonts w:ascii="Times New Roman" w:hAnsi="Times New Roman"/>
                <w:b/>
                <w:bCs/>
                <w:szCs w:val="24"/>
              </w:rPr>
            </w:pPr>
            <w:r w:rsidRPr="00D24892">
              <w:rPr>
                <w:rFonts w:ascii="Times New Roman" w:hAnsi="Times New Roman"/>
                <w:b/>
                <w:bCs/>
                <w:szCs w:val="24"/>
              </w:rPr>
              <w:t>-</w:t>
            </w:r>
          </w:p>
        </w:tc>
      </w:tr>
      <w:tr w:rsidR="00B03940" w:rsidRPr="00D24892" w:rsidTr="00BB1EAD">
        <w:tc>
          <w:tcPr>
            <w:tcW w:w="5210" w:type="dxa"/>
          </w:tcPr>
          <w:p w:rsidR="00B03940" w:rsidRPr="00D24892" w:rsidRDefault="00B03940" w:rsidP="00BB1EAD">
            <w:pPr>
              <w:jc w:val="both"/>
              <w:rPr>
                <w:rFonts w:ascii="Times New Roman" w:hAnsi="Times New Roman"/>
              </w:rPr>
            </w:pPr>
            <w:r w:rsidRPr="00D24892">
              <w:rPr>
                <w:rFonts w:ascii="Times New Roman" w:hAnsi="Times New Roman"/>
                <w:b/>
              </w:rPr>
              <w:t>будівлі для публічних виступів</w:t>
            </w:r>
            <w:r w:rsidRPr="00D24892">
              <w:rPr>
                <w:rFonts w:ascii="Times New Roman" w:hAnsi="Times New Roman"/>
              </w:rPr>
              <w:t xml:space="preserve"> (казино, ігорні будинки);</w:t>
            </w:r>
          </w:p>
        </w:tc>
        <w:tc>
          <w:tcPr>
            <w:tcW w:w="2459" w:type="dxa"/>
          </w:tcPr>
          <w:p w:rsidR="00B03940" w:rsidRPr="00D24892" w:rsidRDefault="00B03940" w:rsidP="00BB1EAD">
            <w:pPr>
              <w:jc w:val="center"/>
              <w:rPr>
                <w:rFonts w:ascii="Times New Roman" w:hAnsi="Times New Roman"/>
                <w:b/>
                <w:bCs/>
                <w:szCs w:val="24"/>
              </w:rPr>
            </w:pPr>
            <w:r w:rsidRPr="00D24892">
              <w:rPr>
                <w:rFonts w:ascii="Times New Roman" w:hAnsi="Times New Roman"/>
                <w:b/>
                <w:bCs/>
                <w:szCs w:val="24"/>
              </w:rPr>
              <w:t>0,1</w:t>
            </w:r>
          </w:p>
        </w:tc>
        <w:tc>
          <w:tcPr>
            <w:tcW w:w="2752" w:type="dxa"/>
          </w:tcPr>
          <w:p w:rsidR="00B03940" w:rsidRPr="00D24892" w:rsidRDefault="00B03940" w:rsidP="00BB1EAD">
            <w:pPr>
              <w:jc w:val="center"/>
              <w:rPr>
                <w:rFonts w:ascii="Times New Roman" w:hAnsi="Times New Roman"/>
                <w:b/>
                <w:bCs/>
                <w:szCs w:val="24"/>
              </w:rPr>
            </w:pPr>
            <w:r w:rsidRPr="00D24892">
              <w:rPr>
                <w:rFonts w:ascii="Times New Roman" w:hAnsi="Times New Roman"/>
                <w:b/>
                <w:bCs/>
                <w:szCs w:val="24"/>
              </w:rPr>
              <w:t>-</w:t>
            </w:r>
          </w:p>
        </w:tc>
      </w:tr>
      <w:tr w:rsidR="00B03940" w:rsidRPr="00D24892" w:rsidTr="00BB1EAD">
        <w:tc>
          <w:tcPr>
            <w:tcW w:w="5210" w:type="dxa"/>
          </w:tcPr>
          <w:p w:rsidR="00B03940" w:rsidRPr="00D24892" w:rsidRDefault="00B03940" w:rsidP="00BB1EAD">
            <w:pPr>
              <w:jc w:val="both"/>
              <w:rPr>
                <w:rFonts w:ascii="Times New Roman" w:hAnsi="Times New Roman"/>
              </w:rPr>
            </w:pPr>
            <w:r w:rsidRPr="00D24892">
              <w:rPr>
                <w:rFonts w:ascii="Times New Roman" w:hAnsi="Times New Roman"/>
                <w:b/>
              </w:rPr>
              <w:t>господарські (присадибні) будівлі</w:t>
            </w:r>
            <w:r w:rsidRPr="00D24892">
              <w:rPr>
                <w:rFonts w:ascii="Times New Roman" w:hAnsi="Times New Roman"/>
              </w:rPr>
              <w:t xml:space="preserve">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tc>
        <w:tc>
          <w:tcPr>
            <w:tcW w:w="2459" w:type="dxa"/>
          </w:tcPr>
          <w:p w:rsidR="00B03940" w:rsidRPr="00D24892" w:rsidRDefault="00B03940" w:rsidP="00BB1EAD">
            <w:pPr>
              <w:jc w:val="center"/>
              <w:rPr>
                <w:rFonts w:ascii="Times New Roman" w:hAnsi="Times New Roman"/>
                <w:b/>
                <w:bCs/>
                <w:szCs w:val="24"/>
              </w:rPr>
            </w:pPr>
            <w:r w:rsidRPr="00D24892">
              <w:rPr>
                <w:rFonts w:ascii="Times New Roman" w:hAnsi="Times New Roman"/>
                <w:b/>
                <w:bCs/>
                <w:szCs w:val="24"/>
              </w:rPr>
              <w:t>0,1</w:t>
            </w:r>
          </w:p>
        </w:tc>
        <w:tc>
          <w:tcPr>
            <w:tcW w:w="2752" w:type="dxa"/>
          </w:tcPr>
          <w:p w:rsidR="00B03940" w:rsidRPr="00D24892" w:rsidRDefault="00B03940" w:rsidP="00BB1EAD">
            <w:pPr>
              <w:jc w:val="center"/>
              <w:rPr>
                <w:rFonts w:ascii="Times New Roman" w:hAnsi="Times New Roman"/>
                <w:b/>
                <w:bCs/>
                <w:szCs w:val="24"/>
              </w:rPr>
            </w:pPr>
            <w:r w:rsidRPr="00D24892">
              <w:rPr>
                <w:rFonts w:ascii="Times New Roman" w:hAnsi="Times New Roman"/>
                <w:b/>
                <w:bCs/>
                <w:szCs w:val="24"/>
              </w:rPr>
              <w:t>0,01</w:t>
            </w:r>
          </w:p>
        </w:tc>
      </w:tr>
      <w:tr w:rsidR="00B03940" w:rsidRPr="00D24892" w:rsidTr="00BB1EAD">
        <w:tc>
          <w:tcPr>
            <w:tcW w:w="5210" w:type="dxa"/>
          </w:tcPr>
          <w:p w:rsidR="00B03940" w:rsidRPr="00D24892" w:rsidRDefault="00B03940" w:rsidP="00BB1EAD">
            <w:pPr>
              <w:rPr>
                <w:rFonts w:ascii="Times New Roman" w:hAnsi="Times New Roman"/>
              </w:rPr>
            </w:pPr>
            <w:r w:rsidRPr="00D24892">
              <w:rPr>
                <w:rFonts w:ascii="Times New Roman" w:hAnsi="Times New Roman"/>
              </w:rPr>
              <w:t xml:space="preserve"> </w:t>
            </w:r>
            <w:r w:rsidRPr="00D24892">
              <w:rPr>
                <w:rFonts w:ascii="Times New Roman" w:hAnsi="Times New Roman"/>
                <w:b/>
              </w:rPr>
              <w:t>інші будівлі.</w:t>
            </w:r>
          </w:p>
        </w:tc>
        <w:tc>
          <w:tcPr>
            <w:tcW w:w="2459" w:type="dxa"/>
          </w:tcPr>
          <w:p w:rsidR="00B03940" w:rsidRPr="00D24892" w:rsidRDefault="00B03940" w:rsidP="00BB1EAD">
            <w:pPr>
              <w:jc w:val="center"/>
              <w:rPr>
                <w:rFonts w:ascii="Times New Roman" w:hAnsi="Times New Roman"/>
                <w:b/>
                <w:bCs/>
                <w:szCs w:val="24"/>
              </w:rPr>
            </w:pPr>
            <w:r w:rsidRPr="00D24892">
              <w:rPr>
                <w:rFonts w:ascii="Times New Roman" w:hAnsi="Times New Roman"/>
                <w:b/>
                <w:bCs/>
                <w:szCs w:val="24"/>
              </w:rPr>
              <w:t>0,1</w:t>
            </w:r>
          </w:p>
        </w:tc>
        <w:tc>
          <w:tcPr>
            <w:tcW w:w="2752" w:type="dxa"/>
          </w:tcPr>
          <w:p w:rsidR="00B03940" w:rsidRPr="00D24892" w:rsidRDefault="00B03940" w:rsidP="00BB1EAD">
            <w:pPr>
              <w:jc w:val="center"/>
              <w:rPr>
                <w:rFonts w:ascii="Times New Roman" w:hAnsi="Times New Roman"/>
                <w:b/>
                <w:bCs/>
                <w:szCs w:val="24"/>
              </w:rPr>
            </w:pPr>
            <w:r w:rsidRPr="00D24892">
              <w:rPr>
                <w:rFonts w:ascii="Times New Roman" w:hAnsi="Times New Roman"/>
                <w:b/>
                <w:bCs/>
                <w:szCs w:val="24"/>
              </w:rPr>
              <w:t>0,1</w:t>
            </w:r>
          </w:p>
        </w:tc>
      </w:tr>
    </w:tbl>
    <w:p w:rsidR="00B03940" w:rsidRPr="00D24892" w:rsidRDefault="00B03940" w:rsidP="00B03940">
      <w:pPr>
        <w:ind w:left="708"/>
        <w:jc w:val="both"/>
        <w:rPr>
          <w:rFonts w:ascii="Times New Roman" w:hAnsi="Times New Roman"/>
          <w:szCs w:val="24"/>
        </w:rPr>
      </w:pPr>
    </w:p>
    <w:p w:rsidR="00B03940" w:rsidRPr="00D24892" w:rsidRDefault="00B03940" w:rsidP="00B03940">
      <w:pPr>
        <w:ind w:left="708"/>
        <w:jc w:val="center"/>
        <w:rPr>
          <w:rFonts w:ascii="Times New Roman" w:hAnsi="Times New Roman"/>
          <w:szCs w:val="24"/>
        </w:rPr>
      </w:pPr>
    </w:p>
    <w:p w:rsidR="006521CC" w:rsidRPr="00A6556C" w:rsidRDefault="00A6556C" w:rsidP="006521CC">
      <w:pPr>
        <w:pStyle w:val="a4"/>
        <w:shd w:val="clear" w:color="auto" w:fill="auto"/>
        <w:spacing w:after="298" w:line="312" w:lineRule="exact"/>
        <w:ind w:left="40" w:right="80"/>
        <w:jc w:val="center"/>
        <w:rPr>
          <w:b/>
        </w:rPr>
      </w:pPr>
      <w:r>
        <w:rPr>
          <w:b/>
        </w:rPr>
        <w:t xml:space="preserve">Секретар ради </w:t>
      </w:r>
      <w:r>
        <w:rPr>
          <w:b/>
        </w:rPr>
        <w:tab/>
      </w:r>
      <w:r>
        <w:rPr>
          <w:b/>
        </w:rPr>
        <w:tab/>
      </w:r>
      <w:r>
        <w:rPr>
          <w:b/>
        </w:rPr>
        <w:tab/>
      </w:r>
      <w:r>
        <w:rPr>
          <w:b/>
        </w:rPr>
        <w:tab/>
      </w:r>
      <w:r>
        <w:rPr>
          <w:b/>
        </w:rPr>
        <w:tab/>
      </w:r>
      <w:r>
        <w:rPr>
          <w:b/>
        </w:rPr>
        <w:tab/>
      </w:r>
      <w:r>
        <w:rPr>
          <w:b/>
        </w:rPr>
        <w:tab/>
      </w:r>
      <w:r>
        <w:rPr>
          <w:b/>
        </w:rPr>
        <w:tab/>
      </w:r>
      <w:bookmarkStart w:id="35" w:name="_GoBack"/>
      <w:bookmarkEnd w:id="35"/>
      <w:r w:rsidR="006521CC" w:rsidRPr="00A6556C">
        <w:rPr>
          <w:b/>
        </w:rPr>
        <w:t>І.МАРТИНЮК</w:t>
      </w:r>
    </w:p>
    <w:p w:rsidR="00A7582E" w:rsidRDefault="00A7582E"/>
    <w:sectPr w:rsidR="00A7582E" w:rsidSect="00A758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42503"/>
    <w:multiLevelType w:val="hybridMultilevel"/>
    <w:tmpl w:val="5FDE4C60"/>
    <w:lvl w:ilvl="0" w:tplc="899EEDE8">
      <w:start w:val="1"/>
      <w:numFmt w:val="decimal"/>
      <w:lvlText w:val="%1."/>
      <w:lvlJc w:val="left"/>
      <w:pPr>
        <w:tabs>
          <w:tab w:val="num" w:pos="377"/>
        </w:tabs>
        <w:ind w:left="377" w:hanging="360"/>
      </w:pPr>
      <w:rPr>
        <w:rFonts w:hint="default"/>
        <w:b/>
      </w:rPr>
    </w:lvl>
    <w:lvl w:ilvl="1" w:tplc="04190019" w:tentative="1">
      <w:start w:val="1"/>
      <w:numFmt w:val="lowerLetter"/>
      <w:lvlText w:val="%2."/>
      <w:lvlJc w:val="left"/>
      <w:pPr>
        <w:tabs>
          <w:tab w:val="num" w:pos="1097"/>
        </w:tabs>
        <w:ind w:left="1097" w:hanging="360"/>
      </w:pPr>
    </w:lvl>
    <w:lvl w:ilvl="2" w:tplc="0419001B" w:tentative="1">
      <w:start w:val="1"/>
      <w:numFmt w:val="lowerRoman"/>
      <w:lvlText w:val="%3."/>
      <w:lvlJc w:val="right"/>
      <w:pPr>
        <w:tabs>
          <w:tab w:val="num" w:pos="1817"/>
        </w:tabs>
        <w:ind w:left="1817" w:hanging="180"/>
      </w:pPr>
    </w:lvl>
    <w:lvl w:ilvl="3" w:tplc="0419000F" w:tentative="1">
      <w:start w:val="1"/>
      <w:numFmt w:val="decimal"/>
      <w:lvlText w:val="%4."/>
      <w:lvlJc w:val="left"/>
      <w:pPr>
        <w:tabs>
          <w:tab w:val="num" w:pos="2537"/>
        </w:tabs>
        <w:ind w:left="2537" w:hanging="360"/>
      </w:pPr>
    </w:lvl>
    <w:lvl w:ilvl="4" w:tplc="04190019" w:tentative="1">
      <w:start w:val="1"/>
      <w:numFmt w:val="lowerLetter"/>
      <w:lvlText w:val="%5."/>
      <w:lvlJc w:val="left"/>
      <w:pPr>
        <w:tabs>
          <w:tab w:val="num" w:pos="3257"/>
        </w:tabs>
        <w:ind w:left="3257" w:hanging="360"/>
      </w:pPr>
    </w:lvl>
    <w:lvl w:ilvl="5" w:tplc="0419001B" w:tentative="1">
      <w:start w:val="1"/>
      <w:numFmt w:val="lowerRoman"/>
      <w:lvlText w:val="%6."/>
      <w:lvlJc w:val="right"/>
      <w:pPr>
        <w:tabs>
          <w:tab w:val="num" w:pos="3977"/>
        </w:tabs>
        <w:ind w:left="3977" w:hanging="180"/>
      </w:pPr>
    </w:lvl>
    <w:lvl w:ilvl="6" w:tplc="0419000F" w:tentative="1">
      <w:start w:val="1"/>
      <w:numFmt w:val="decimal"/>
      <w:lvlText w:val="%7."/>
      <w:lvlJc w:val="left"/>
      <w:pPr>
        <w:tabs>
          <w:tab w:val="num" w:pos="4697"/>
        </w:tabs>
        <w:ind w:left="4697" w:hanging="360"/>
      </w:pPr>
    </w:lvl>
    <w:lvl w:ilvl="7" w:tplc="04190019" w:tentative="1">
      <w:start w:val="1"/>
      <w:numFmt w:val="lowerLetter"/>
      <w:lvlText w:val="%8."/>
      <w:lvlJc w:val="left"/>
      <w:pPr>
        <w:tabs>
          <w:tab w:val="num" w:pos="5417"/>
        </w:tabs>
        <w:ind w:left="5417" w:hanging="360"/>
      </w:pPr>
    </w:lvl>
    <w:lvl w:ilvl="8" w:tplc="0419001B" w:tentative="1">
      <w:start w:val="1"/>
      <w:numFmt w:val="lowerRoman"/>
      <w:lvlText w:val="%9."/>
      <w:lvlJc w:val="right"/>
      <w:pPr>
        <w:tabs>
          <w:tab w:val="num" w:pos="6137"/>
        </w:tabs>
        <w:ind w:left="61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B03940"/>
    <w:rsid w:val="000A621A"/>
    <w:rsid w:val="0020728F"/>
    <w:rsid w:val="00385AA5"/>
    <w:rsid w:val="003C2EBB"/>
    <w:rsid w:val="00547A9C"/>
    <w:rsid w:val="00595D2B"/>
    <w:rsid w:val="005D5A15"/>
    <w:rsid w:val="00613A95"/>
    <w:rsid w:val="006521CC"/>
    <w:rsid w:val="00653267"/>
    <w:rsid w:val="00700769"/>
    <w:rsid w:val="009C433E"/>
    <w:rsid w:val="00A27369"/>
    <w:rsid w:val="00A6556C"/>
    <w:rsid w:val="00A7582E"/>
    <w:rsid w:val="00AD701E"/>
    <w:rsid w:val="00B03940"/>
    <w:rsid w:val="00B21E86"/>
    <w:rsid w:val="00C553E4"/>
    <w:rsid w:val="00C73517"/>
    <w:rsid w:val="00CD4B57"/>
    <w:rsid w:val="00CF188F"/>
    <w:rsid w:val="00D378E8"/>
    <w:rsid w:val="00E340B8"/>
    <w:rsid w:val="00EC4DF5"/>
    <w:rsid w:val="00F16C49"/>
    <w:rsid w:val="00F714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40"/>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locked/>
    <w:rsid w:val="00653267"/>
    <w:rPr>
      <w:rFonts w:ascii="Times New Roman" w:eastAsia="Times New Roman" w:hAnsi="Times New Roman" w:cs="Times New Roman"/>
      <w:sz w:val="26"/>
      <w:szCs w:val="26"/>
      <w:shd w:val="clear" w:color="auto" w:fill="FFFFFF"/>
    </w:rPr>
  </w:style>
  <w:style w:type="paragraph" w:customStyle="1" w:styleId="a4">
    <w:name w:val="Основний текст"/>
    <w:basedOn w:val="a"/>
    <w:link w:val="a3"/>
    <w:rsid w:val="00653267"/>
    <w:pPr>
      <w:widowControl w:val="0"/>
      <w:shd w:val="clear" w:color="auto" w:fill="FFFFFF"/>
      <w:spacing w:line="298" w:lineRule="exact"/>
      <w:jc w:val="both"/>
    </w:pPr>
    <w:rPr>
      <w:rFonts w:ascii="Times New Roman" w:hAnsi="Times New Roman"/>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95453">
      <w:bodyDiv w:val="1"/>
      <w:marLeft w:val="0"/>
      <w:marRight w:val="0"/>
      <w:marTop w:val="0"/>
      <w:marBottom w:val="0"/>
      <w:divBdr>
        <w:top w:val="none" w:sz="0" w:space="0" w:color="auto"/>
        <w:left w:val="none" w:sz="0" w:space="0" w:color="auto"/>
        <w:bottom w:val="none" w:sz="0" w:space="0" w:color="auto"/>
        <w:right w:val="none" w:sz="0" w:space="0" w:color="auto"/>
      </w:divBdr>
    </w:div>
    <w:div w:id="925109281">
      <w:bodyDiv w:val="1"/>
      <w:marLeft w:val="0"/>
      <w:marRight w:val="0"/>
      <w:marTop w:val="0"/>
      <w:marBottom w:val="0"/>
      <w:divBdr>
        <w:top w:val="none" w:sz="0" w:space="0" w:color="auto"/>
        <w:left w:val="none" w:sz="0" w:space="0" w:color="auto"/>
        <w:bottom w:val="none" w:sz="0" w:space="0" w:color="auto"/>
        <w:right w:val="none" w:sz="0" w:space="0" w:color="auto"/>
      </w:divBdr>
    </w:div>
    <w:div w:id="1601796487">
      <w:bodyDiv w:val="1"/>
      <w:marLeft w:val="0"/>
      <w:marRight w:val="0"/>
      <w:marTop w:val="0"/>
      <w:marBottom w:val="0"/>
      <w:divBdr>
        <w:top w:val="none" w:sz="0" w:space="0" w:color="auto"/>
        <w:left w:val="none" w:sz="0" w:space="0" w:color="auto"/>
        <w:bottom w:val="none" w:sz="0" w:space="0" w:color="auto"/>
        <w:right w:val="none" w:sz="0" w:space="0" w:color="auto"/>
      </w:divBdr>
    </w:div>
    <w:div w:id="17476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rint1484779104132844" TargetMode="External"/><Relationship Id="rId13" Type="http://schemas.openxmlformats.org/officeDocument/2006/relationships/hyperlink" Target="http://zakon3.rada.gov.ua/laws/show/2755-17/print1484779104132844" TargetMode="External"/><Relationship Id="rId3" Type="http://schemas.microsoft.com/office/2007/relationships/stylesWithEffects" Target="stylesWithEffects.xml"/><Relationship Id="rId7" Type="http://schemas.openxmlformats.org/officeDocument/2006/relationships/hyperlink" Target="http://zakon3.rada.gov.ua/laws/show/2755-17/print1484779104132844" TargetMode="External"/><Relationship Id="rId12" Type="http://schemas.openxmlformats.org/officeDocument/2006/relationships/hyperlink" Target="http://zakon3.rada.gov.ua/laws/show/z0479-15/paran1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3.rada.gov.ua/laws/show/2755-17/print1484779104132844" TargetMode="External"/><Relationship Id="rId11" Type="http://schemas.openxmlformats.org/officeDocument/2006/relationships/hyperlink" Target="http://zakon3.rada.gov.ua/laws/show/476-2012-%D0%BF/paran9" TargetMode="External"/><Relationship Id="rId5" Type="http://schemas.openxmlformats.org/officeDocument/2006/relationships/webSettings" Target="webSettings.xml"/><Relationship Id="rId15" Type="http://schemas.openxmlformats.org/officeDocument/2006/relationships/hyperlink" Target="http://zakon3.rada.gov.ua/laws/show/2755-17/print1484779104132844" TargetMode="External"/><Relationship Id="rId10" Type="http://schemas.openxmlformats.org/officeDocument/2006/relationships/hyperlink" Target="http://zakon3.rada.gov.ua/laws/show/2755-17/print1484779104132844" TargetMode="External"/><Relationship Id="rId4" Type="http://schemas.openxmlformats.org/officeDocument/2006/relationships/settings" Target="settings.xml"/><Relationship Id="rId9" Type="http://schemas.openxmlformats.org/officeDocument/2006/relationships/hyperlink" Target="http://zakon3.rada.gov.ua/laws/show/2755-17/print1484779104132844" TargetMode="External"/><Relationship Id="rId14" Type="http://schemas.openxmlformats.org/officeDocument/2006/relationships/hyperlink" Target="http://zakon3.rada.gov.ua/laws/show/z0479-15/paran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11859</Words>
  <Characters>6761</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cp:lastPrinted>2020-06-18T13:20:00Z</cp:lastPrinted>
  <dcterms:created xsi:type="dcterms:W3CDTF">2020-05-14T05:46:00Z</dcterms:created>
  <dcterms:modified xsi:type="dcterms:W3CDTF">2020-06-18T13:22:00Z</dcterms:modified>
</cp:coreProperties>
</file>